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C0366" w14:textId="77777777" w:rsidR="006E2E37" w:rsidRDefault="008B4B8A">
      <w:pPr>
        <w:jc w:val="center"/>
        <w:rPr>
          <w:rStyle w:val="a7"/>
          <w:rFonts w:ascii="Times New Roman" w:eastAsia="黑体" w:hAnsi="Times New Roman" w:cs="Times New Roman"/>
          <w:sz w:val="28"/>
          <w:szCs w:val="28"/>
        </w:rPr>
      </w:pPr>
      <w:r>
        <w:rPr>
          <w:rStyle w:val="a7"/>
          <w:rFonts w:ascii="Times New Roman" w:eastAsia="黑体" w:hAnsi="Times New Roman" w:cs="Times New Roman"/>
          <w:sz w:val="28"/>
          <w:szCs w:val="28"/>
        </w:rPr>
        <w:t>README for the GIFT-BDS Dataset</w:t>
      </w:r>
    </w:p>
    <w:p w14:paraId="2F6949C8" w14:textId="61D4FE16" w:rsidR="00015FD2" w:rsidRDefault="00450F1E" w:rsidP="008F1077">
      <w:pPr>
        <w:rPr>
          <w:rFonts w:ascii="Times New Roman" w:eastAsia="黑体" w:hAnsi="Times New Roman" w:cs="Times New Roman"/>
          <w:sz w:val="20"/>
          <w:szCs w:val="20"/>
        </w:rPr>
      </w:pPr>
      <w:r w:rsidRPr="00450F1E">
        <w:rPr>
          <w:rFonts w:ascii="Times New Roman" w:eastAsia="黑体" w:hAnsi="Times New Roman" w:cs="Times New Roman"/>
          <w:sz w:val="20"/>
          <w:szCs w:val="20"/>
        </w:rPr>
        <w:t>This README describes the GIFT-BDS dataset, a regional ionospheric total electron content (TEC) and TEC-gradient dataset over China derived from BeiDou GEO observations. The dataset accompanies the manuscript “GIFT-BDS: A high-resolution TEC and Gradient Ionospheric Index dataset over China derived from BeiDou GEO fixed-geometry observations”</w:t>
      </w:r>
      <w:r w:rsidR="00791B1D" w:rsidRPr="00791B1D">
        <w:t xml:space="preserve"> </w:t>
      </w:r>
      <w:r w:rsidR="00791B1D" w:rsidRPr="00791B1D">
        <w:rPr>
          <w:rFonts w:ascii="Times New Roman" w:eastAsia="黑体" w:hAnsi="Times New Roman" w:cs="Times New Roman"/>
          <w:sz w:val="20"/>
          <w:szCs w:val="20"/>
        </w:rPr>
        <w:t>submitted to Earth System Science Data</w:t>
      </w:r>
      <w:r w:rsidRPr="00450F1E">
        <w:rPr>
          <w:rFonts w:ascii="Times New Roman" w:eastAsia="黑体" w:hAnsi="Times New Roman" w:cs="Times New Roman"/>
          <w:sz w:val="20"/>
          <w:szCs w:val="20"/>
        </w:rPr>
        <w:t>. Detailed processing methods and validation are described in the associated manuscript. The gradient estimation method follows Li et al. (2025), “Ionospheric gradient estimation using ground-based GEO observations for monitoring multi-scale ionospheric dynamics” (https://doi.org/10.1186/s43020-025-00187-4).</w:t>
      </w:r>
    </w:p>
    <w:p w14:paraId="31A6BE84" w14:textId="77777777" w:rsidR="00450F1E" w:rsidRPr="00450F1E" w:rsidRDefault="00450F1E" w:rsidP="008F1077">
      <w:pPr>
        <w:rPr>
          <w:rFonts w:ascii="Times New Roman" w:eastAsia="黑体" w:hAnsi="Times New Roman" w:cs="Times New Roman"/>
          <w:sz w:val="20"/>
          <w:szCs w:val="20"/>
        </w:rPr>
      </w:pPr>
    </w:p>
    <w:p w14:paraId="3FA8ECBE" w14:textId="77777777" w:rsidR="006E2E37" w:rsidRPr="00DF7FA7" w:rsidRDefault="008B4B8A" w:rsidP="008F1077">
      <w:pPr>
        <w:rPr>
          <w:rFonts w:ascii="Times New Roman" w:eastAsia="黑体" w:hAnsi="Times New Roman" w:cs="Times New Roman"/>
          <w:sz w:val="20"/>
          <w:szCs w:val="20"/>
        </w:rPr>
      </w:pPr>
      <w:r w:rsidRPr="00951F14">
        <w:rPr>
          <w:rFonts w:ascii="Times New Roman" w:eastAsia="黑体" w:hAnsi="Times New Roman" w:cs="Times New Roman"/>
          <w:b/>
          <w:bCs/>
          <w:sz w:val="20"/>
          <w:szCs w:val="20"/>
        </w:rPr>
        <w:t>Dataset version:</w:t>
      </w:r>
      <w:r w:rsidRPr="00DF7FA7">
        <w:rPr>
          <w:rFonts w:ascii="Times New Roman" w:eastAsia="黑体" w:hAnsi="Times New Roman" w:cs="Times New Roman"/>
          <w:sz w:val="20"/>
          <w:szCs w:val="20"/>
        </w:rPr>
        <w:t xml:space="preserve"> v1.0</w:t>
      </w:r>
    </w:p>
    <w:p w14:paraId="4E8F1A07" w14:textId="1551E8D2" w:rsidR="006E2E37" w:rsidRPr="00DF7FA7" w:rsidRDefault="008B4B8A" w:rsidP="008F1077">
      <w:pPr>
        <w:rPr>
          <w:rFonts w:ascii="Times New Roman" w:eastAsia="黑体" w:hAnsi="Times New Roman" w:cs="Times New Roman"/>
          <w:sz w:val="20"/>
          <w:szCs w:val="20"/>
        </w:rPr>
      </w:pPr>
      <w:r w:rsidRPr="00951F14">
        <w:rPr>
          <w:rFonts w:ascii="Times New Roman" w:eastAsia="黑体" w:hAnsi="Times New Roman" w:cs="Times New Roman"/>
          <w:b/>
          <w:bCs/>
          <w:sz w:val="20"/>
          <w:szCs w:val="20"/>
        </w:rPr>
        <w:t>Data coverage:</w:t>
      </w:r>
      <w:r w:rsidRPr="00DF7FA7">
        <w:rPr>
          <w:rFonts w:ascii="Times New Roman" w:eastAsia="黑体" w:hAnsi="Times New Roman" w:cs="Times New Roman"/>
          <w:sz w:val="20"/>
          <w:szCs w:val="20"/>
        </w:rPr>
        <w:t xml:space="preserve"> 1</w:t>
      </w:r>
      <w:r w:rsidR="00C5207A" w:rsidRPr="00DF7FA7">
        <w:rPr>
          <w:rFonts w:ascii="Times New Roman" w:eastAsia="黑体" w:hAnsi="Times New Roman" w:cs="Times New Roman"/>
          <w:sz w:val="20"/>
          <w:szCs w:val="20"/>
        </w:rPr>
        <w:t>9</w:t>
      </w:r>
      <w:r w:rsidRPr="00DF7FA7">
        <w:rPr>
          <w:rFonts w:ascii="Times New Roman" w:eastAsia="黑体" w:hAnsi="Times New Roman" w:cs="Times New Roman"/>
          <w:sz w:val="20"/>
          <w:szCs w:val="20"/>
        </w:rPr>
        <w:t xml:space="preserve"> July 2024 to 31 December 2025</w:t>
      </w:r>
      <w:r w:rsidR="008A22B7" w:rsidRPr="00DF7FA7">
        <w:rPr>
          <w:rFonts w:ascii="Times New Roman" w:eastAsia="黑体" w:hAnsi="Times New Roman" w:cs="Times New Roman"/>
          <w:sz w:val="20"/>
          <w:szCs w:val="20"/>
        </w:rPr>
        <w:t xml:space="preserve"> (DOY201 of 2024 to DOY365 of 2025)</w:t>
      </w:r>
    </w:p>
    <w:p w14:paraId="62E652B0" w14:textId="77777777" w:rsidR="006E2E37" w:rsidRPr="00DF7FA7" w:rsidRDefault="008B4B8A" w:rsidP="008F1077">
      <w:pPr>
        <w:rPr>
          <w:rFonts w:ascii="Times New Roman" w:eastAsia="黑体" w:hAnsi="Times New Roman" w:cs="Times New Roman"/>
          <w:sz w:val="20"/>
          <w:szCs w:val="20"/>
        </w:rPr>
      </w:pPr>
      <w:r w:rsidRPr="00951F14">
        <w:rPr>
          <w:rFonts w:ascii="Times New Roman" w:eastAsia="黑体" w:hAnsi="Times New Roman" w:cs="Times New Roman"/>
          <w:b/>
          <w:bCs/>
          <w:sz w:val="20"/>
          <w:szCs w:val="20"/>
        </w:rPr>
        <w:t>Data format:</w:t>
      </w:r>
      <w:r w:rsidRPr="00DF7FA7">
        <w:rPr>
          <w:rFonts w:ascii="Times New Roman" w:eastAsia="黑体" w:hAnsi="Times New Roman" w:cs="Times New Roman"/>
          <w:sz w:val="20"/>
          <w:szCs w:val="20"/>
        </w:rPr>
        <w:t xml:space="preserve"> NetCDF</w:t>
      </w:r>
    </w:p>
    <w:p w14:paraId="38FF031A" w14:textId="77777777" w:rsidR="006E2E37" w:rsidRPr="00DF7FA7" w:rsidRDefault="008B4B8A" w:rsidP="008F1077">
      <w:pPr>
        <w:rPr>
          <w:rFonts w:ascii="Times New Roman" w:eastAsia="黑体" w:hAnsi="Times New Roman" w:cs="Times New Roman"/>
          <w:sz w:val="20"/>
          <w:szCs w:val="20"/>
        </w:rPr>
      </w:pPr>
      <w:r w:rsidRPr="00951F14">
        <w:rPr>
          <w:rFonts w:ascii="Times New Roman" w:eastAsia="黑体" w:hAnsi="Times New Roman" w:cs="Times New Roman"/>
          <w:b/>
          <w:bCs/>
          <w:sz w:val="20"/>
          <w:szCs w:val="20"/>
        </w:rPr>
        <w:t>Temporal resolution:</w:t>
      </w:r>
      <w:r w:rsidRPr="00DF7FA7">
        <w:rPr>
          <w:rFonts w:ascii="Times New Roman" w:eastAsia="黑体" w:hAnsi="Times New Roman" w:cs="Times New Roman"/>
          <w:sz w:val="20"/>
          <w:szCs w:val="20"/>
        </w:rPr>
        <w:t xml:space="preserve"> 30 s for Level-1 products; 15 min for Level-2 products</w:t>
      </w:r>
    </w:p>
    <w:p w14:paraId="2A26DC21" w14:textId="75405B04" w:rsidR="006E2E37" w:rsidRDefault="008B4B8A" w:rsidP="008F1077">
      <w:pPr>
        <w:rPr>
          <w:rFonts w:ascii="Times New Roman" w:eastAsia="黑体" w:hAnsi="Times New Roman" w:cs="Times New Roman"/>
          <w:sz w:val="20"/>
          <w:szCs w:val="20"/>
        </w:rPr>
      </w:pPr>
      <w:r w:rsidRPr="00951F14">
        <w:rPr>
          <w:rFonts w:ascii="Times New Roman" w:eastAsia="黑体" w:hAnsi="Times New Roman" w:cs="Times New Roman"/>
          <w:b/>
          <w:bCs/>
          <w:sz w:val="20"/>
          <w:szCs w:val="20"/>
        </w:rPr>
        <w:t>Geographical coverage:</w:t>
      </w:r>
      <w:r w:rsidRPr="00DF7FA7">
        <w:rPr>
          <w:rFonts w:ascii="Times New Roman" w:eastAsia="黑体" w:hAnsi="Times New Roman" w:cs="Times New Roman"/>
          <w:sz w:val="20"/>
          <w:szCs w:val="20"/>
        </w:rPr>
        <w:t xml:space="preserve"> 15°N–50°N, 95°E–135°E</w:t>
      </w:r>
    </w:p>
    <w:p w14:paraId="1B8B86A0" w14:textId="77777777" w:rsidR="00015FD2" w:rsidRPr="00015FD2" w:rsidRDefault="00015FD2" w:rsidP="008F1077">
      <w:pPr>
        <w:rPr>
          <w:rFonts w:ascii="Times New Roman" w:eastAsia="黑体" w:hAnsi="Times New Roman" w:cs="Times New Roman"/>
          <w:b/>
          <w:bCs/>
          <w:sz w:val="20"/>
          <w:szCs w:val="20"/>
        </w:rPr>
      </w:pPr>
      <w:r w:rsidRPr="00015FD2">
        <w:rPr>
          <w:rFonts w:ascii="Times New Roman" w:eastAsia="黑体" w:hAnsi="Times New Roman" w:cs="Times New Roman"/>
          <w:b/>
          <w:bCs/>
          <w:sz w:val="20"/>
          <w:szCs w:val="20"/>
        </w:rPr>
        <w:t>Dataset citation:</w:t>
      </w:r>
    </w:p>
    <w:p w14:paraId="40F08EBB" w14:textId="09CEE295" w:rsidR="00015FD2" w:rsidRDefault="00015FD2" w:rsidP="008F1077">
      <w:pPr>
        <w:rPr>
          <w:rFonts w:ascii="Times New Roman" w:eastAsia="黑体" w:hAnsi="Times New Roman" w:cs="Times New Roman"/>
          <w:sz w:val="20"/>
          <w:szCs w:val="20"/>
        </w:rPr>
      </w:pPr>
      <w:r w:rsidRPr="00015FD2">
        <w:rPr>
          <w:rFonts w:ascii="Times New Roman" w:eastAsia="黑体" w:hAnsi="Times New Roman" w:cs="Times New Roman"/>
          <w:sz w:val="20"/>
          <w:szCs w:val="20"/>
        </w:rPr>
        <w:t>Please cite this dataset using the DOI and citation information</w:t>
      </w:r>
      <w:r w:rsidR="00454BC9">
        <w:rPr>
          <w:rFonts w:ascii="Times New Roman" w:eastAsia="黑体" w:hAnsi="Times New Roman" w:cs="Times New Roman"/>
          <w:sz w:val="20"/>
          <w:szCs w:val="20"/>
        </w:rPr>
        <w:t xml:space="preserve"> </w:t>
      </w:r>
      <w:r w:rsidR="00454BC9" w:rsidRPr="00454BC9">
        <w:rPr>
          <w:rFonts w:ascii="Times New Roman" w:eastAsia="黑体" w:hAnsi="Times New Roman" w:cs="Times New Roman"/>
          <w:sz w:val="20"/>
          <w:szCs w:val="20"/>
        </w:rPr>
        <w:t xml:space="preserve">provided in the </w:t>
      </w:r>
      <w:r w:rsidR="0025013C">
        <w:rPr>
          <w:rFonts w:ascii="Times New Roman" w:eastAsia="黑体" w:hAnsi="Times New Roman" w:cs="Times New Roman" w:hint="eastAsia"/>
          <w:sz w:val="20"/>
          <w:szCs w:val="20"/>
        </w:rPr>
        <w:t>Zendo</w:t>
      </w:r>
      <w:r w:rsidR="00454BC9" w:rsidRPr="00454BC9">
        <w:rPr>
          <w:rFonts w:ascii="Times New Roman" w:eastAsia="黑体" w:hAnsi="Times New Roman" w:cs="Times New Roman"/>
          <w:sz w:val="20"/>
          <w:szCs w:val="20"/>
        </w:rPr>
        <w:t xml:space="preserve"> record</w:t>
      </w:r>
      <w:r w:rsidR="00D4203B">
        <w:rPr>
          <w:rFonts w:ascii="Times New Roman" w:eastAsia="黑体" w:hAnsi="Times New Roman" w:cs="Times New Roman"/>
          <w:sz w:val="20"/>
          <w:szCs w:val="20"/>
        </w:rPr>
        <w:t xml:space="preserve"> (</w:t>
      </w:r>
      <w:r w:rsidR="00D4203B" w:rsidRPr="00D4203B">
        <w:rPr>
          <w:rFonts w:ascii="Times New Roman" w:eastAsia="黑体" w:hAnsi="Times New Roman" w:cs="Times New Roman"/>
          <w:sz w:val="20"/>
          <w:szCs w:val="20"/>
        </w:rPr>
        <w:t>https://doi.org/10.5281/zenodo.21090695</w:t>
      </w:r>
      <w:r w:rsidR="00D4203B">
        <w:rPr>
          <w:rFonts w:ascii="Times New Roman" w:eastAsia="黑体" w:hAnsi="Times New Roman" w:cs="Times New Roman"/>
          <w:sz w:val="20"/>
          <w:szCs w:val="20"/>
        </w:rPr>
        <w:t>)</w:t>
      </w:r>
      <w:r w:rsidRPr="00015FD2">
        <w:rPr>
          <w:rFonts w:ascii="Times New Roman" w:eastAsia="黑体" w:hAnsi="Times New Roman" w:cs="Times New Roman"/>
          <w:sz w:val="20"/>
          <w:szCs w:val="20"/>
        </w:rPr>
        <w:t>. Users are also encouraged to cite the associated manuscript when using the dataset.</w:t>
      </w:r>
    </w:p>
    <w:p w14:paraId="054786B2" w14:textId="77777777" w:rsidR="006B4388" w:rsidRPr="00DF7FA7" w:rsidRDefault="006B4388" w:rsidP="008F1077">
      <w:pPr>
        <w:rPr>
          <w:rFonts w:ascii="Times New Roman" w:eastAsia="黑体" w:hAnsi="Times New Roman" w:cs="Times New Roman"/>
          <w:sz w:val="20"/>
          <w:szCs w:val="20"/>
        </w:rPr>
      </w:pPr>
    </w:p>
    <w:p w14:paraId="0BC3E2D8" w14:textId="77777777" w:rsidR="006E2E37" w:rsidRDefault="008B4B8A" w:rsidP="008F1077">
      <w:pPr>
        <w:pStyle w:val="1"/>
        <w:spacing w:before="120" w:after="120" w:line="240" w:lineRule="auto"/>
        <w:rPr>
          <w:rFonts w:ascii="Times New Roman" w:eastAsia="宋体" w:hAnsi="Times New Roman" w:cs="Times New Roman"/>
          <w:sz w:val="24"/>
          <w:szCs w:val="24"/>
        </w:rPr>
      </w:pPr>
      <w:r>
        <w:rPr>
          <w:rFonts w:ascii="Times New Roman" w:eastAsia="宋体" w:hAnsi="Times New Roman" w:cs="Times New Roman"/>
          <w:sz w:val="24"/>
          <w:szCs w:val="24"/>
        </w:rPr>
        <w:t>1. Dataset Overview</w:t>
      </w:r>
    </w:p>
    <w:p w14:paraId="2224ED68" w14:textId="729AA292" w:rsidR="003578CD" w:rsidRDefault="003578CD" w:rsidP="008F1077">
      <w:pPr>
        <w:rPr>
          <w:rFonts w:ascii="Times New Roman" w:eastAsia="黑体" w:hAnsi="Times New Roman" w:cs="Times New Roman"/>
          <w:sz w:val="20"/>
          <w:szCs w:val="20"/>
        </w:rPr>
      </w:pPr>
      <w:r w:rsidRPr="003578CD">
        <w:rPr>
          <w:rFonts w:ascii="Times New Roman" w:eastAsia="黑体" w:hAnsi="Times New Roman" w:cs="Times New Roman"/>
          <w:sz w:val="20"/>
          <w:szCs w:val="20"/>
        </w:rPr>
        <w:t>GIFT-BDS is a regional ionospheric total electron content (TEC) and TEC-gradient dataset over China derived from BeiDou GEO observations and a dense ground-based GNSS receiver network. The dataset is intended for regional ionospheric studies, TEC-gradient monitoring, space-weather-related analyses, and investigations of ionospheric effects on GNSS positioning applications.</w:t>
      </w:r>
    </w:p>
    <w:p w14:paraId="315BBBD8" w14:textId="3E7ADB8D" w:rsidR="00322462" w:rsidRDefault="00322462" w:rsidP="008F1077">
      <w:pPr>
        <w:rPr>
          <w:rFonts w:ascii="Times New Roman" w:eastAsia="黑体" w:hAnsi="Times New Roman" w:cs="Times New Roman"/>
          <w:sz w:val="20"/>
          <w:szCs w:val="20"/>
        </w:rPr>
      </w:pPr>
      <w:r w:rsidRPr="00322462">
        <w:rPr>
          <w:rFonts w:ascii="Times New Roman" w:eastAsia="黑体" w:hAnsi="Times New Roman" w:cs="Times New Roman"/>
          <w:sz w:val="20"/>
          <w:szCs w:val="20"/>
        </w:rPr>
        <w:t>The dataset contains two product levels:</w:t>
      </w:r>
    </w:p>
    <w:p w14:paraId="1EC0E68D" w14:textId="713BE74A" w:rsidR="006E2E37" w:rsidRPr="00266463" w:rsidRDefault="008B4B8A" w:rsidP="008F1077">
      <w:pPr>
        <w:rPr>
          <w:rFonts w:ascii="Times New Roman" w:eastAsia="黑体" w:hAnsi="Times New Roman" w:cs="Times New Roman"/>
          <w:b/>
          <w:bCs/>
          <w:sz w:val="20"/>
          <w:szCs w:val="20"/>
        </w:rPr>
      </w:pPr>
      <w:r w:rsidRPr="00266463">
        <w:rPr>
          <w:rFonts w:ascii="Times New Roman" w:eastAsia="黑体" w:hAnsi="Times New Roman" w:cs="Times New Roman"/>
          <w:b/>
          <w:bCs/>
          <w:sz w:val="20"/>
          <w:szCs w:val="20"/>
        </w:rPr>
        <w:t>Level-1 products:</w:t>
      </w:r>
    </w:p>
    <w:p w14:paraId="695970A2" w14:textId="146D85E2" w:rsidR="006E2E37" w:rsidRDefault="008B4B8A" w:rsidP="008F1077">
      <w:pPr>
        <w:rPr>
          <w:rFonts w:ascii="Times New Roman" w:eastAsia="黑体" w:hAnsi="Times New Roman" w:cs="Times New Roman"/>
          <w:sz w:val="20"/>
          <w:szCs w:val="20"/>
        </w:rPr>
      </w:pPr>
      <w:r>
        <w:rPr>
          <w:rFonts w:ascii="Times New Roman" w:eastAsia="黑体" w:hAnsi="Times New Roman" w:cs="Times New Roman"/>
          <w:sz w:val="20"/>
          <w:szCs w:val="20"/>
        </w:rPr>
        <w:t>Observation-level time series for individual receiver</w:t>
      </w:r>
      <w:r w:rsidR="005629E4">
        <w:rPr>
          <w:rFonts w:ascii="Times New Roman" w:eastAsia="黑体" w:hAnsi="Times New Roman" w:cs="Times New Roman"/>
          <w:sz w:val="20"/>
          <w:szCs w:val="20"/>
        </w:rPr>
        <w:t>-</w:t>
      </w:r>
      <w:r>
        <w:rPr>
          <w:rFonts w:ascii="Times New Roman" w:eastAsia="黑体" w:hAnsi="Times New Roman" w:cs="Times New Roman"/>
          <w:sz w:val="20"/>
          <w:szCs w:val="20"/>
        </w:rPr>
        <w:t>GEO satellite links. These products include GEO-derived slant TEC (STEC), rate of TEC index (ROTI), LOS geometry, and IPP information at a 30 s sampling interval.</w:t>
      </w:r>
    </w:p>
    <w:p w14:paraId="2742E6A5" w14:textId="77777777" w:rsidR="006E2E37" w:rsidRPr="00E2546D" w:rsidRDefault="008B4B8A" w:rsidP="008F1077">
      <w:pPr>
        <w:rPr>
          <w:rFonts w:ascii="Times New Roman" w:eastAsia="黑体" w:hAnsi="Times New Roman" w:cs="Times New Roman"/>
          <w:b/>
          <w:bCs/>
          <w:sz w:val="20"/>
          <w:szCs w:val="20"/>
        </w:rPr>
      </w:pPr>
      <w:r w:rsidRPr="00E2546D">
        <w:rPr>
          <w:rFonts w:ascii="Times New Roman" w:eastAsia="黑体" w:hAnsi="Times New Roman" w:cs="Times New Roman"/>
          <w:b/>
          <w:bCs/>
          <w:sz w:val="20"/>
          <w:szCs w:val="20"/>
        </w:rPr>
        <w:t>Level-2 products:</w:t>
      </w:r>
    </w:p>
    <w:p w14:paraId="4C972214" w14:textId="24071256" w:rsidR="006E2E37" w:rsidRDefault="008B4B8A" w:rsidP="008F1077">
      <w:pPr>
        <w:rPr>
          <w:rFonts w:ascii="Times New Roman" w:eastAsia="黑体" w:hAnsi="Times New Roman" w:cs="Times New Roman"/>
          <w:sz w:val="20"/>
          <w:szCs w:val="20"/>
        </w:rPr>
      </w:pPr>
      <w:r>
        <w:rPr>
          <w:rFonts w:ascii="Times New Roman" w:eastAsia="黑体" w:hAnsi="Times New Roman" w:cs="Times New Roman"/>
          <w:sz w:val="20"/>
          <w:szCs w:val="20"/>
        </w:rPr>
        <w:t>Gridded regional ionospheric products derived from the quality-controlled Level-1 products. These products include VTEC, VTEC</w:t>
      </w:r>
      <w:r w:rsidRPr="00665736">
        <w:rPr>
          <w:rFonts w:ascii="Times New Roman" w:eastAsia="黑体" w:hAnsi="Times New Roman" w:cs="Times New Roman"/>
          <w:sz w:val="20"/>
          <w:szCs w:val="20"/>
          <w:vertAlign w:val="subscript"/>
        </w:rPr>
        <w:t>t</w:t>
      </w:r>
      <w:r>
        <w:rPr>
          <w:rFonts w:ascii="Times New Roman" w:eastAsia="黑体" w:hAnsi="Times New Roman" w:cs="Times New Roman"/>
          <w:sz w:val="20"/>
          <w:szCs w:val="20"/>
        </w:rPr>
        <w:t>, ROTI, GIX, GIX</w:t>
      </w:r>
      <w:r w:rsidRPr="00665736">
        <w:rPr>
          <w:rFonts w:ascii="Times New Roman" w:eastAsia="黑体" w:hAnsi="Times New Roman" w:cs="Times New Roman"/>
          <w:sz w:val="20"/>
          <w:szCs w:val="20"/>
          <w:vertAlign w:val="subscript"/>
        </w:rPr>
        <w:t>std</w:t>
      </w:r>
      <w:r>
        <w:rPr>
          <w:rFonts w:ascii="Times New Roman" w:eastAsia="黑体" w:hAnsi="Times New Roman" w:cs="Times New Roman"/>
          <w:sz w:val="20"/>
          <w:szCs w:val="20"/>
        </w:rPr>
        <w:t>, GIX</w:t>
      </w:r>
      <w:r w:rsidRPr="00665736">
        <w:rPr>
          <w:rFonts w:ascii="Times New Roman" w:eastAsia="黑体" w:hAnsi="Times New Roman" w:cs="Times New Roman"/>
          <w:sz w:val="20"/>
          <w:szCs w:val="20"/>
          <w:vertAlign w:val="subscript"/>
        </w:rPr>
        <w:t>x</w:t>
      </w:r>
      <w:r>
        <w:rPr>
          <w:rFonts w:ascii="Times New Roman" w:eastAsia="黑体" w:hAnsi="Times New Roman" w:cs="Times New Roman"/>
          <w:sz w:val="20"/>
          <w:szCs w:val="20"/>
        </w:rPr>
        <w:t>, GIX</w:t>
      </w:r>
      <w:r w:rsidRPr="00665736">
        <w:rPr>
          <w:rFonts w:ascii="Times New Roman" w:eastAsia="黑体" w:hAnsi="Times New Roman" w:cs="Times New Roman"/>
          <w:sz w:val="20"/>
          <w:szCs w:val="20"/>
          <w:vertAlign w:val="subscript"/>
        </w:rPr>
        <w:t>y</w:t>
      </w:r>
      <w:r>
        <w:rPr>
          <w:rFonts w:ascii="Times New Roman" w:eastAsia="黑体" w:hAnsi="Times New Roman" w:cs="Times New Roman"/>
          <w:sz w:val="20"/>
          <w:szCs w:val="20"/>
        </w:rPr>
        <w:t>, GIX</w:t>
      </w:r>
      <w:r w:rsidRPr="00665736">
        <w:rPr>
          <w:rFonts w:ascii="Times New Roman" w:eastAsia="黑体" w:hAnsi="Times New Roman" w:cs="Times New Roman"/>
          <w:sz w:val="20"/>
          <w:szCs w:val="20"/>
          <w:vertAlign w:val="subscript"/>
        </w:rPr>
        <w:t>t,x</w:t>
      </w:r>
      <w:r>
        <w:rPr>
          <w:rFonts w:ascii="Times New Roman" w:eastAsia="黑体" w:hAnsi="Times New Roman" w:cs="Times New Roman"/>
          <w:sz w:val="20"/>
          <w:szCs w:val="20"/>
        </w:rPr>
        <w:t>, and GIX</w:t>
      </w:r>
      <w:r w:rsidRPr="00665736">
        <w:rPr>
          <w:rFonts w:ascii="Times New Roman" w:eastAsia="黑体" w:hAnsi="Times New Roman" w:cs="Times New Roman"/>
          <w:sz w:val="20"/>
          <w:szCs w:val="20"/>
          <w:vertAlign w:val="subscript"/>
        </w:rPr>
        <w:t>t,y</w:t>
      </w:r>
      <w:r>
        <w:rPr>
          <w:rFonts w:ascii="Times New Roman" w:eastAsia="黑体" w:hAnsi="Times New Roman" w:cs="Times New Roman"/>
          <w:sz w:val="20"/>
          <w:szCs w:val="20"/>
        </w:rPr>
        <w:t>. IPP-based variables are provided on a 1° × 1° grid, while inter-IPP-gradient variables are provided on a 0.25° × 0.25° grid. All Level-2 products have a temporal resolution of 15 min.</w:t>
      </w:r>
    </w:p>
    <w:p w14:paraId="3E574582" w14:textId="77777777" w:rsidR="006B4388" w:rsidRDefault="006B4388" w:rsidP="00D76441">
      <w:pPr>
        <w:rPr>
          <w:rFonts w:ascii="Times New Roman" w:eastAsia="黑体" w:hAnsi="Times New Roman" w:cs="Times New Roman"/>
          <w:sz w:val="20"/>
          <w:szCs w:val="20"/>
        </w:rPr>
      </w:pPr>
    </w:p>
    <w:p w14:paraId="6DD1B874" w14:textId="77777777" w:rsidR="006E2E37" w:rsidRDefault="008B4B8A" w:rsidP="00D76441">
      <w:pPr>
        <w:pStyle w:val="1"/>
        <w:spacing w:before="120" w:after="120" w:line="240" w:lineRule="auto"/>
        <w:rPr>
          <w:rFonts w:ascii="Times New Roman" w:eastAsia="宋体" w:hAnsi="Times New Roman" w:cs="Times New Roman"/>
          <w:sz w:val="24"/>
          <w:szCs w:val="24"/>
        </w:rPr>
      </w:pPr>
      <w:r>
        <w:rPr>
          <w:rFonts w:ascii="Times New Roman" w:eastAsia="宋体" w:hAnsi="Times New Roman" w:cs="Times New Roman"/>
          <w:sz w:val="24"/>
          <w:szCs w:val="24"/>
        </w:rPr>
        <w:t>2. Dataset structure</w:t>
      </w:r>
    </w:p>
    <w:p w14:paraId="2AF425BF" w14:textId="7B92471F" w:rsidR="00034C9A" w:rsidRPr="00F67EF3" w:rsidRDefault="008500BF" w:rsidP="00B24580">
      <w:pPr>
        <w:rPr>
          <w:rFonts w:ascii="Times New Roman" w:eastAsia="黑体" w:hAnsi="Times New Roman" w:cs="Times New Roman"/>
          <w:sz w:val="20"/>
          <w:szCs w:val="20"/>
        </w:rPr>
      </w:pPr>
      <w:r w:rsidRPr="00F67EF3">
        <w:rPr>
          <w:rFonts w:ascii="Times New Roman" w:eastAsia="黑体" w:hAnsi="Times New Roman" w:cs="Times New Roman"/>
          <w:sz w:val="20"/>
          <w:szCs w:val="20"/>
        </w:rPr>
        <w:t>The dataset is organized by product level and year. Level-1 daily files are stored in the Level1/ directory, and Level-2 daily files are stored in the Level2/ directory. Within each product-level directory, files are further grouped by year.</w:t>
      </w:r>
      <w:r w:rsidR="00B24580">
        <w:rPr>
          <w:rFonts w:ascii="Times New Roman" w:eastAsia="黑体" w:hAnsi="Times New Roman" w:cs="Times New Roman" w:hint="eastAsia"/>
          <w:sz w:val="20"/>
          <w:szCs w:val="20"/>
        </w:rPr>
        <w:t xml:space="preserve"> </w:t>
      </w:r>
      <w:r w:rsidR="008B4B8A" w:rsidRPr="00F67EF3">
        <w:rPr>
          <w:rFonts w:ascii="Times New Roman" w:eastAsia="黑体" w:hAnsi="Times New Roman" w:cs="Times New Roman" w:hint="eastAsia"/>
          <w:sz w:val="20"/>
          <w:szCs w:val="20"/>
        </w:rPr>
        <w:t>The</w:t>
      </w:r>
      <w:r w:rsidR="008B4B8A" w:rsidRPr="00F67EF3">
        <w:rPr>
          <w:rFonts w:ascii="Times New Roman" w:eastAsia="黑体" w:hAnsi="Times New Roman" w:cs="Times New Roman"/>
          <w:sz w:val="20"/>
          <w:szCs w:val="20"/>
        </w:rPr>
        <w:t xml:space="preserve"> directory structure is:</w:t>
      </w:r>
    </w:p>
    <w:p w14:paraId="4B42D58B"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GIFT-BDS/</w:t>
      </w:r>
    </w:p>
    <w:p w14:paraId="5E071E3F"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p>
    <w:p w14:paraId="52202E2D" w14:textId="19DA5CB6"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lastRenderedPageBreak/>
        <w:t>├── README.</w:t>
      </w:r>
      <w:r w:rsidR="00F3122E">
        <w:rPr>
          <w:rFonts w:ascii="Times New Roman" w:eastAsia="宋体" w:hAnsi="Times New Roman" w:cs="Times New Roman" w:hint="eastAsia"/>
          <w:kern w:val="0"/>
          <w:sz w:val="20"/>
          <w:szCs w:val="20"/>
        </w:rPr>
        <w:t>docx</w:t>
      </w:r>
    </w:p>
    <w:p w14:paraId="379865A4"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Level1/</w:t>
      </w:r>
    </w:p>
    <w:p w14:paraId="6C8010A1"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2024/</w:t>
      </w:r>
    </w:p>
    <w:p w14:paraId="080AD858"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 TEC_BDSGEO_2024ddd0000_01D_30S.nc</w:t>
      </w:r>
    </w:p>
    <w:p w14:paraId="231A5228"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 ...</w:t>
      </w:r>
    </w:p>
    <w:p w14:paraId="43CE861F"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2025/</w:t>
      </w:r>
    </w:p>
    <w:p w14:paraId="64FC38F0"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TEC_BDSGEO_2025ddd0000_01D_30S.nc</w:t>
      </w:r>
    </w:p>
    <w:p w14:paraId="3B213BAF"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w:t>
      </w:r>
    </w:p>
    <w:p w14:paraId="04FB8304"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p>
    <w:p w14:paraId="3FDDED25"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Level2/</w:t>
      </w:r>
    </w:p>
    <w:p w14:paraId="3FDF833A"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2024/</w:t>
      </w:r>
    </w:p>
    <w:p w14:paraId="7CBA194A"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 GIX_BDSGEO_2024ddd0000_01D_15M.nc</w:t>
      </w:r>
    </w:p>
    <w:p w14:paraId="0A692831"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 ...</w:t>
      </w:r>
    </w:p>
    <w:p w14:paraId="7F37A076"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2025/</w:t>
      </w:r>
    </w:p>
    <w:p w14:paraId="1413C5B5"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GIX_BDSGEO_2025ddd0000_01D_15M.nc</w:t>
      </w:r>
    </w:p>
    <w:p w14:paraId="55946787"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 ...</w:t>
      </w:r>
    </w:p>
    <w:p w14:paraId="3954776A"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p>
    <w:p w14:paraId="78760162" w14:textId="77777777" w:rsidR="006E2E37" w:rsidRDefault="008B4B8A" w:rsidP="00D76441">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plot/</w:t>
      </w:r>
    </w:p>
    <w:p w14:paraId="622011AC" w14:textId="05237E3E" w:rsidR="006E2E37" w:rsidRDefault="008B4B8A" w:rsidP="00FD1A2B">
      <w:pPr>
        <w:widowControl/>
        <w:pBdr>
          <w:top w:val="single" w:sz="4" w:space="1" w:color="auto"/>
          <w:left w:val="single" w:sz="4" w:space="4" w:color="auto"/>
          <w:bottom w:val="single" w:sz="4" w:space="1" w:color="auto"/>
          <w:right w:val="single" w:sz="4" w:space="4" w:color="auto"/>
        </w:pBdr>
        <w:tabs>
          <w:tab w:val="left" w:pos="482"/>
        </w:tabs>
        <w:ind w:firstLine="405"/>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0096588E">
        <w:rPr>
          <w:rFonts w:ascii="Times New Roman" w:eastAsia="宋体" w:hAnsi="Times New Roman" w:cs="Times New Roman"/>
          <w:kern w:val="0"/>
          <w:sz w:val="20"/>
          <w:szCs w:val="20"/>
        </w:rPr>
        <w:t xml:space="preserve"> </w:t>
      </w:r>
      <w:r w:rsidR="006373EA">
        <w:rPr>
          <w:rFonts w:ascii="Times New Roman" w:eastAsia="宋体" w:hAnsi="Times New Roman" w:cs="Times New Roman"/>
          <w:kern w:val="0"/>
          <w:sz w:val="20"/>
          <w:szCs w:val="20"/>
        </w:rPr>
        <w:t>plot_Level1</w:t>
      </w:r>
      <w:r>
        <w:rPr>
          <w:rFonts w:ascii="Times New Roman" w:eastAsia="宋体" w:hAnsi="Times New Roman" w:cs="Times New Roman"/>
          <w:kern w:val="0"/>
          <w:sz w:val="20"/>
          <w:szCs w:val="20"/>
        </w:rPr>
        <w:t>.py</w:t>
      </w:r>
    </w:p>
    <w:p w14:paraId="246F086F" w14:textId="30459231" w:rsidR="00FD1A2B" w:rsidRDefault="00FD1A2B" w:rsidP="00FD1A2B">
      <w:pPr>
        <w:widowControl/>
        <w:pBdr>
          <w:top w:val="single" w:sz="4" w:space="1" w:color="auto"/>
          <w:left w:val="single" w:sz="4" w:space="4" w:color="auto"/>
          <w:bottom w:val="single" w:sz="4" w:space="1" w:color="auto"/>
          <w:right w:val="single" w:sz="4" w:space="4" w:color="auto"/>
        </w:pBdr>
        <w:tabs>
          <w:tab w:val="left" w:pos="482"/>
        </w:tabs>
        <w:ind w:firstLine="405"/>
        <w:rPr>
          <w:rFonts w:ascii="Times New Roman" w:eastAsia="宋体" w:hAnsi="Times New Roman" w:cs="Times New Roman"/>
          <w:kern w:val="0"/>
          <w:sz w:val="20"/>
          <w:szCs w:val="20"/>
        </w:rPr>
      </w:pPr>
      <w:r>
        <w:rPr>
          <w:rFonts w:ascii="Times New Roman" w:eastAsia="宋体" w:hAnsi="Times New Roman" w:cs="Times New Roman"/>
          <w:kern w:val="0"/>
          <w:sz w:val="20"/>
          <w:szCs w:val="20"/>
        </w:rPr>
        <w:t>├── plot_Level2.py</w:t>
      </w:r>
    </w:p>
    <w:p w14:paraId="5041BE04" w14:textId="3B2F2ECB" w:rsidR="00FD1A2B" w:rsidRPr="00FD1A2B" w:rsidRDefault="00FD1A2B" w:rsidP="00FD1A2B">
      <w:pPr>
        <w:widowControl/>
        <w:pBdr>
          <w:top w:val="single" w:sz="4" w:space="1" w:color="auto"/>
          <w:left w:val="single" w:sz="4" w:space="4" w:color="auto"/>
          <w:bottom w:val="single" w:sz="4" w:space="1" w:color="auto"/>
          <w:right w:val="single" w:sz="4" w:space="4" w:color="auto"/>
        </w:pBdr>
        <w:tabs>
          <w:tab w:val="left" w:pos="482"/>
        </w:tabs>
        <w:ind w:firstLine="405"/>
        <w:rPr>
          <w:rFonts w:ascii="Times New Roman" w:eastAsia="宋体" w:hAnsi="Times New Roman" w:cs="Times New Roman"/>
          <w:kern w:val="0"/>
          <w:sz w:val="20"/>
          <w:szCs w:val="20"/>
        </w:rPr>
      </w:pPr>
      <w:r>
        <w:rPr>
          <w:rFonts w:ascii="Times New Roman" w:eastAsia="宋体" w:hAnsi="Times New Roman" w:cs="Times New Roman"/>
          <w:kern w:val="0"/>
          <w:sz w:val="20"/>
          <w:szCs w:val="20"/>
        </w:rPr>
        <w:t>├── GIX_BDSGEO_20242650000_01D_15M.nc</w:t>
      </w:r>
    </w:p>
    <w:p w14:paraId="2808F00A" w14:textId="2B602105" w:rsidR="0065358D" w:rsidRPr="0065358D" w:rsidRDefault="008B4B8A" w:rsidP="0065358D">
      <w:pPr>
        <w:widowControl/>
        <w:pBdr>
          <w:top w:val="single" w:sz="4" w:space="1" w:color="auto"/>
          <w:left w:val="single" w:sz="4" w:space="4" w:color="auto"/>
          <w:bottom w:val="single" w:sz="4" w:space="1" w:color="auto"/>
          <w:right w:val="single" w:sz="4" w:space="4" w:color="auto"/>
        </w:pBdr>
        <w:tabs>
          <w:tab w:val="left" w:pos="482"/>
        </w:tabs>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    └──</w:t>
      </w:r>
      <w:r w:rsidR="0096588E">
        <w:rPr>
          <w:rFonts w:ascii="Times New Roman" w:eastAsia="宋体" w:hAnsi="Times New Roman" w:cs="Times New Roman"/>
          <w:kern w:val="0"/>
          <w:sz w:val="20"/>
          <w:szCs w:val="20"/>
        </w:rPr>
        <w:t xml:space="preserve"> </w:t>
      </w:r>
      <w:r w:rsidR="00FD1A2B">
        <w:rPr>
          <w:rFonts w:ascii="Times New Roman" w:eastAsia="宋体" w:hAnsi="Times New Roman" w:cs="Times New Roman"/>
          <w:kern w:val="0"/>
          <w:sz w:val="20"/>
          <w:szCs w:val="20"/>
        </w:rPr>
        <w:t>TEC_BDSGEO_20242650000_01D_30S.nc</w:t>
      </w:r>
    </w:p>
    <w:p w14:paraId="2861F96E" w14:textId="1C9555CA" w:rsidR="0065358D" w:rsidRPr="008934B5" w:rsidRDefault="0065358D" w:rsidP="00772838">
      <w:pPr>
        <w:spacing w:beforeLines="50" w:before="156"/>
        <w:ind w:firstLineChars="200" w:firstLine="400"/>
        <w:rPr>
          <w:rFonts w:ascii="Times New Roman" w:eastAsia="黑体" w:hAnsi="Times New Roman" w:cs="Times New Roman"/>
          <w:sz w:val="20"/>
          <w:szCs w:val="20"/>
        </w:rPr>
      </w:pPr>
      <w:r w:rsidRPr="008934B5">
        <w:rPr>
          <w:rFonts w:ascii="Times New Roman" w:eastAsia="黑体" w:hAnsi="Times New Roman" w:cs="Times New Roman"/>
          <w:sz w:val="20"/>
          <w:szCs w:val="20"/>
        </w:rPr>
        <w:t>In the file names, yyyy denotes the four-digit year, and ddd denotes the three-digit day of year (DOY). Each daily NetCDF file contains the corresponding Level-1 or Level-2 product for one UTC day. Some daily files may be unavailable if no processable observation files were received at the data center.</w:t>
      </w:r>
    </w:p>
    <w:p w14:paraId="51AAB2AC" w14:textId="77777777" w:rsidR="0065358D" w:rsidRDefault="0065358D" w:rsidP="00772838">
      <w:pPr>
        <w:ind w:firstLineChars="200" w:firstLine="400"/>
        <w:rPr>
          <w:rFonts w:ascii="Times New Roman" w:eastAsia="黑体" w:hAnsi="Times New Roman" w:cs="Times New Roman"/>
          <w:sz w:val="20"/>
          <w:szCs w:val="20"/>
        </w:rPr>
      </w:pPr>
      <w:r w:rsidRPr="008934B5">
        <w:rPr>
          <w:rFonts w:ascii="Times New Roman" w:eastAsia="黑体" w:hAnsi="Times New Roman" w:cs="Times New Roman"/>
          <w:sz w:val="20"/>
          <w:szCs w:val="20"/>
        </w:rPr>
        <w:t>The plot/ directory contains example Python scripts for reading and plotting selected variables from the NetCDF files. The scripts are provided only as usage examples and are not required for accessing the dataset. Users may run these scripts after installing common scientific Python packages, including netCDF4, numpy, and matplotlib.</w:t>
      </w:r>
    </w:p>
    <w:p w14:paraId="575CBF37" w14:textId="77777777" w:rsidR="000F7E00" w:rsidRPr="0065358D" w:rsidRDefault="000F7E00" w:rsidP="00D76441">
      <w:pPr>
        <w:rPr>
          <w:rFonts w:ascii="Times New Roman" w:eastAsia="黑体" w:hAnsi="Times New Roman" w:cs="Times New Roman"/>
          <w:sz w:val="20"/>
          <w:szCs w:val="20"/>
        </w:rPr>
      </w:pPr>
    </w:p>
    <w:p w14:paraId="19176ED7" w14:textId="77777777" w:rsidR="006E2E37" w:rsidRDefault="008B4B8A" w:rsidP="00D76441">
      <w:pPr>
        <w:pStyle w:val="1"/>
        <w:spacing w:before="120" w:after="120" w:line="240" w:lineRule="auto"/>
        <w:rPr>
          <w:rFonts w:ascii="Times New Roman" w:eastAsia="宋体" w:hAnsi="Times New Roman" w:cs="Times New Roman"/>
          <w:sz w:val="24"/>
          <w:szCs w:val="24"/>
        </w:rPr>
      </w:pPr>
      <w:r>
        <w:rPr>
          <w:rFonts w:ascii="Times New Roman" w:eastAsia="宋体" w:hAnsi="Times New Roman" w:cs="Times New Roman"/>
          <w:sz w:val="24"/>
          <w:szCs w:val="24"/>
        </w:rPr>
        <w:t>3. Naming Convention</w:t>
      </w:r>
    </w:p>
    <w:p w14:paraId="3303E28E" w14:textId="77777777" w:rsidR="006E2E37" w:rsidRDefault="008B4B8A" w:rsidP="00D76441">
      <w:pPr>
        <w:rPr>
          <w:rFonts w:ascii="Times New Roman" w:eastAsia="黑体" w:hAnsi="Times New Roman" w:cs="Times New Roman"/>
          <w:b/>
          <w:bCs/>
          <w:sz w:val="20"/>
          <w:szCs w:val="20"/>
        </w:rPr>
      </w:pPr>
      <w:r>
        <w:rPr>
          <w:rFonts w:ascii="Times New Roman" w:eastAsia="黑体" w:hAnsi="Times New Roman" w:cs="Times New Roman"/>
          <w:b/>
          <w:bCs/>
          <w:sz w:val="20"/>
          <w:szCs w:val="20"/>
        </w:rPr>
        <w:t>The dataset is provided as daily NetCDF files. The file naming convention is:</w:t>
      </w:r>
    </w:p>
    <w:p w14:paraId="3717411F" w14:textId="77777777" w:rsidR="006E2E37" w:rsidRDefault="008B4B8A" w:rsidP="00D76441">
      <w:pPr>
        <w:spacing w:beforeLines="50" w:before="156"/>
        <w:rPr>
          <w:rFonts w:ascii="Times New Roman" w:eastAsia="黑体" w:hAnsi="Times New Roman" w:cs="Times New Roman"/>
          <w:sz w:val="20"/>
          <w:szCs w:val="20"/>
        </w:rPr>
      </w:pPr>
      <w:r>
        <w:rPr>
          <w:rFonts w:ascii="Times New Roman" w:eastAsia="黑体" w:hAnsi="Times New Roman" w:cs="Times New Roman"/>
          <w:sz w:val="20"/>
          <w:szCs w:val="20"/>
        </w:rPr>
        <w:t>TEC_BDSGEO_</w:t>
      </w:r>
      <w:r>
        <w:rPr>
          <w:rFonts w:ascii="Times New Roman" w:eastAsia="黑体" w:hAnsi="Times New Roman" w:cs="Times New Roman" w:hint="eastAsia"/>
          <w:sz w:val="20"/>
          <w:szCs w:val="20"/>
        </w:rPr>
        <w:t>yyyy</w:t>
      </w:r>
      <w:r>
        <w:rPr>
          <w:rFonts w:ascii="Times New Roman" w:eastAsia="黑体" w:hAnsi="Times New Roman" w:cs="Times New Roman"/>
          <w:sz w:val="20"/>
          <w:szCs w:val="20"/>
        </w:rPr>
        <w:t>ddd0000_01D_30S.nc</w:t>
      </w:r>
    </w:p>
    <w:p w14:paraId="722C1E25" w14:textId="0BF09487" w:rsidR="006E2E37" w:rsidRDefault="008B4B8A" w:rsidP="00D76441">
      <w:pPr>
        <w:rPr>
          <w:rFonts w:ascii="Times New Roman" w:eastAsia="黑体" w:hAnsi="Times New Roman" w:cs="Times New Roman"/>
          <w:sz w:val="20"/>
          <w:szCs w:val="20"/>
        </w:rPr>
      </w:pPr>
      <w:r>
        <w:rPr>
          <w:rFonts w:ascii="Times New Roman" w:eastAsia="黑体" w:hAnsi="Times New Roman" w:cs="Times New Roman"/>
          <w:sz w:val="20"/>
          <w:szCs w:val="20"/>
        </w:rPr>
        <w:t>GIX_BDSGEO_</w:t>
      </w:r>
      <w:r>
        <w:rPr>
          <w:rFonts w:ascii="Times New Roman" w:eastAsia="黑体" w:hAnsi="Times New Roman" w:cs="Times New Roman" w:hint="eastAsia"/>
          <w:sz w:val="20"/>
          <w:szCs w:val="20"/>
        </w:rPr>
        <w:t>yyyy</w:t>
      </w:r>
      <w:r>
        <w:rPr>
          <w:rFonts w:ascii="Times New Roman" w:eastAsia="黑体" w:hAnsi="Times New Roman" w:cs="Times New Roman"/>
          <w:sz w:val="20"/>
          <w:szCs w:val="20"/>
        </w:rPr>
        <w:t>ddd0000_01D_15M.nc</w:t>
      </w:r>
    </w:p>
    <w:p w14:paraId="218D5C24" w14:textId="77777777" w:rsidR="006E2E37" w:rsidRDefault="008B4B8A" w:rsidP="00D76441">
      <w:pPr>
        <w:rPr>
          <w:rFonts w:ascii="Times New Roman" w:eastAsia="黑体" w:hAnsi="Times New Roman" w:cs="Times New Roman"/>
          <w:b/>
          <w:bCs/>
          <w:sz w:val="20"/>
          <w:szCs w:val="20"/>
        </w:rPr>
      </w:pPr>
      <w:r>
        <w:rPr>
          <w:rFonts w:ascii="Times New Roman" w:eastAsia="黑体" w:hAnsi="Times New Roman" w:cs="Times New Roman"/>
          <w:b/>
          <w:bCs/>
          <w:sz w:val="20"/>
          <w:szCs w:val="20"/>
        </w:rPr>
        <w:t>where:</w:t>
      </w:r>
    </w:p>
    <w:p w14:paraId="47149DBB" w14:textId="77777777" w:rsidR="006E2E37" w:rsidRDefault="008B4B8A" w:rsidP="00D76441">
      <w:pPr>
        <w:rPr>
          <w:rFonts w:ascii="Times New Roman" w:eastAsia="黑体" w:hAnsi="Times New Roman" w:cs="Times New Roman"/>
          <w:sz w:val="20"/>
          <w:szCs w:val="20"/>
        </w:rPr>
      </w:pPr>
      <w:r w:rsidRPr="00C05113">
        <w:rPr>
          <w:rFonts w:ascii="Times New Roman" w:eastAsia="黑体" w:hAnsi="Times New Roman" w:cs="Times New Roman"/>
          <w:b/>
          <w:bCs/>
          <w:sz w:val="20"/>
          <w:szCs w:val="20"/>
        </w:rPr>
        <w:t>TEC_BDSGEO</w:t>
      </w:r>
      <w:r>
        <w:rPr>
          <w:rFonts w:ascii="Times New Roman" w:eastAsia="黑体" w:hAnsi="Times New Roman" w:cs="Times New Roman"/>
          <w:sz w:val="20"/>
          <w:szCs w:val="20"/>
        </w:rPr>
        <w:t xml:space="preserve"> denotes the Level-1 observation-level TEC product derived from BeiDou GEO observations;</w:t>
      </w:r>
    </w:p>
    <w:p w14:paraId="7CF3E1CD" w14:textId="77777777" w:rsidR="006E2E37" w:rsidRDefault="008B4B8A" w:rsidP="00D76441">
      <w:pPr>
        <w:rPr>
          <w:rFonts w:ascii="Times New Roman" w:eastAsia="黑体" w:hAnsi="Times New Roman" w:cs="Times New Roman"/>
          <w:sz w:val="20"/>
          <w:szCs w:val="20"/>
        </w:rPr>
      </w:pPr>
      <w:r w:rsidRPr="000304EA">
        <w:rPr>
          <w:rFonts w:ascii="Times New Roman" w:eastAsia="黑体" w:hAnsi="Times New Roman" w:cs="Times New Roman"/>
          <w:b/>
          <w:bCs/>
          <w:sz w:val="20"/>
          <w:szCs w:val="20"/>
        </w:rPr>
        <w:t>GIX_BDSGEO</w:t>
      </w:r>
      <w:r>
        <w:rPr>
          <w:rFonts w:ascii="Times New Roman" w:eastAsia="黑体" w:hAnsi="Times New Roman" w:cs="Times New Roman"/>
          <w:sz w:val="20"/>
          <w:szCs w:val="20"/>
        </w:rPr>
        <w:t xml:space="preserve"> denotes the Level-2 gridded TEC and TEC-gradient product derived from BeiDou GEO observations;</w:t>
      </w:r>
    </w:p>
    <w:p w14:paraId="332A71A1" w14:textId="77777777" w:rsidR="006E2E37" w:rsidRDefault="008B4B8A" w:rsidP="00D76441">
      <w:pPr>
        <w:rPr>
          <w:rFonts w:ascii="Times New Roman" w:eastAsia="黑体" w:hAnsi="Times New Roman" w:cs="Times New Roman"/>
          <w:sz w:val="20"/>
          <w:szCs w:val="20"/>
        </w:rPr>
      </w:pPr>
      <w:r w:rsidRPr="008E28E6">
        <w:rPr>
          <w:rFonts w:ascii="Times New Roman" w:eastAsia="黑体" w:hAnsi="Times New Roman" w:cs="Times New Roman"/>
          <w:b/>
          <w:bCs/>
          <w:sz w:val="20"/>
          <w:szCs w:val="20"/>
        </w:rPr>
        <w:t>yyyy</w:t>
      </w:r>
      <w:r>
        <w:rPr>
          <w:rFonts w:ascii="Times New Roman" w:eastAsia="黑体" w:hAnsi="Times New Roman" w:cs="Times New Roman"/>
          <w:sz w:val="20"/>
          <w:szCs w:val="20"/>
        </w:rPr>
        <w:t xml:space="preserve"> denotes the four-digit year;</w:t>
      </w:r>
    </w:p>
    <w:p w14:paraId="7E560693" w14:textId="77777777" w:rsidR="006E2E37" w:rsidRDefault="008B4B8A" w:rsidP="00D76441">
      <w:pPr>
        <w:rPr>
          <w:rFonts w:ascii="Times New Roman" w:eastAsia="黑体" w:hAnsi="Times New Roman" w:cs="Times New Roman"/>
          <w:sz w:val="20"/>
          <w:szCs w:val="20"/>
        </w:rPr>
      </w:pPr>
      <w:r w:rsidRPr="00B76C07">
        <w:rPr>
          <w:rFonts w:ascii="Times New Roman" w:eastAsia="黑体" w:hAnsi="Times New Roman" w:cs="Times New Roman"/>
          <w:b/>
          <w:bCs/>
          <w:sz w:val="20"/>
          <w:szCs w:val="20"/>
        </w:rPr>
        <w:t>ddd</w:t>
      </w:r>
      <w:r>
        <w:rPr>
          <w:rFonts w:ascii="Times New Roman" w:eastAsia="黑体" w:hAnsi="Times New Roman" w:cs="Times New Roman"/>
          <w:sz w:val="20"/>
          <w:szCs w:val="20"/>
        </w:rPr>
        <w:t xml:space="preserve"> denotes the day of year (DOY);</w:t>
      </w:r>
    </w:p>
    <w:p w14:paraId="4547347B" w14:textId="77777777" w:rsidR="006E2E37" w:rsidRDefault="008B4B8A" w:rsidP="00D76441">
      <w:pPr>
        <w:rPr>
          <w:rFonts w:ascii="Times New Roman" w:eastAsia="黑体" w:hAnsi="Times New Roman" w:cs="Times New Roman"/>
          <w:sz w:val="20"/>
          <w:szCs w:val="20"/>
        </w:rPr>
      </w:pPr>
      <w:r w:rsidRPr="009D1713">
        <w:rPr>
          <w:rFonts w:ascii="Times New Roman" w:eastAsia="黑体" w:hAnsi="Times New Roman" w:cs="Times New Roman"/>
          <w:b/>
          <w:bCs/>
          <w:sz w:val="20"/>
          <w:szCs w:val="20"/>
        </w:rPr>
        <w:t>0000</w:t>
      </w:r>
      <w:r>
        <w:rPr>
          <w:rFonts w:ascii="Times New Roman" w:eastAsia="黑体" w:hAnsi="Times New Roman" w:cs="Times New Roman"/>
          <w:sz w:val="20"/>
          <w:szCs w:val="20"/>
        </w:rPr>
        <w:t xml:space="preserve"> denotes the start time of the daily file, i.e., 00:00 UTC;</w:t>
      </w:r>
    </w:p>
    <w:p w14:paraId="57B52EEB" w14:textId="77777777" w:rsidR="006E2E37" w:rsidRDefault="008B4B8A" w:rsidP="00D76441">
      <w:pPr>
        <w:rPr>
          <w:rFonts w:ascii="Times New Roman" w:eastAsia="黑体" w:hAnsi="Times New Roman" w:cs="Times New Roman"/>
          <w:sz w:val="20"/>
          <w:szCs w:val="20"/>
        </w:rPr>
      </w:pPr>
      <w:r w:rsidRPr="00296194">
        <w:rPr>
          <w:rFonts w:ascii="Times New Roman" w:eastAsia="黑体" w:hAnsi="Times New Roman" w:cs="Times New Roman"/>
          <w:b/>
          <w:bCs/>
          <w:sz w:val="20"/>
          <w:szCs w:val="20"/>
        </w:rPr>
        <w:t>01D</w:t>
      </w:r>
      <w:r>
        <w:rPr>
          <w:rFonts w:ascii="Times New Roman" w:eastAsia="黑体" w:hAnsi="Times New Roman" w:cs="Times New Roman"/>
          <w:sz w:val="20"/>
          <w:szCs w:val="20"/>
        </w:rPr>
        <w:t xml:space="preserve"> denotes that the file covers one UTC day;</w:t>
      </w:r>
    </w:p>
    <w:p w14:paraId="5CD5DE36" w14:textId="4005C1B3" w:rsidR="006E2E37" w:rsidRDefault="008B4B8A" w:rsidP="00D76441">
      <w:pPr>
        <w:rPr>
          <w:rFonts w:ascii="Times New Roman" w:eastAsia="黑体" w:hAnsi="Times New Roman" w:cs="Times New Roman"/>
          <w:sz w:val="20"/>
          <w:szCs w:val="20"/>
        </w:rPr>
      </w:pPr>
      <w:r w:rsidRPr="00012105">
        <w:rPr>
          <w:rFonts w:ascii="Times New Roman" w:eastAsia="黑体" w:hAnsi="Times New Roman" w:cs="Times New Roman"/>
          <w:b/>
          <w:bCs/>
          <w:sz w:val="20"/>
          <w:szCs w:val="20"/>
        </w:rPr>
        <w:lastRenderedPageBreak/>
        <w:t>30S</w:t>
      </w:r>
      <w:r>
        <w:rPr>
          <w:rFonts w:ascii="Times New Roman" w:eastAsia="黑体" w:hAnsi="Times New Roman" w:cs="Times New Roman"/>
          <w:sz w:val="20"/>
          <w:szCs w:val="20"/>
        </w:rPr>
        <w:t xml:space="preserve"> denotes </w:t>
      </w:r>
      <w:r w:rsidR="00536D32" w:rsidRPr="00536D32">
        <w:rPr>
          <w:rFonts w:ascii="Times New Roman" w:eastAsia="黑体" w:hAnsi="Times New Roman" w:cs="Times New Roman"/>
          <w:sz w:val="20"/>
          <w:szCs w:val="20"/>
        </w:rPr>
        <w:t>the 30 s sampling interval of the Level-1 product;</w:t>
      </w:r>
    </w:p>
    <w:p w14:paraId="13BAAC97" w14:textId="454717D7" w:rsidR="006E2E37" w:rsidRDefault="008B4B8A" w:rsidP="00D76441">
      <w:pPr>
        <w:rPr>
          <w:rFonts w:ascii="Times New Roman" w:eastAsia="黑体" w:hAnsi="Times New Roman" w:cs="Times New Roman"/>
          <w:sz w:val="20"/>
          <w:szCs w:val="20"/>
        </w:rPr>
      </w:pPr>
      <w:r w:rsidRPr="0084655F">
        <w:rPr>
          <w:rFonts w:ascii="Times New Roman" w:eastAsia="黑体" w:hAnsi="Times New Roman" w:cs="Times New Roman"/>
          <w:b/>
          <w:bCs/>
          <w:sz w:val="20"/>
          <w:szCs w:val="20"/>
        </w:rPr>
        <w:t>15M</w:t>
      </w:r>
      <w:r>
        <w:rPr>
          <w:rFonts w:ascii="Times New Roman" w:eastAsia="黑体" w:hAnsi="Times New Roman" w:cs="Times New Roman"/>
          <w:sz w:val="20"/>
          <w:szCs w:val="20"/>
        </w:rPr>
        <w:t xml:space="preserve"> denotes </w:t>
      </w:r>
      <w:r w:rsidR="00D34DBB" w:rsidRPr="00D34DBB">
        <w:rPr>
          <w:rFonts w:ascii="Times New Roman" w:eastAsia="黑体" w:hAnsi="Times New Roman" w:cs="Times New Roman"/>
          <w:sz w:val="20"/>
          <w:szCs w:val="20"/>
        </w:rPr>
        <w:t>the 15 min temporal resolution of the Level-2 product;</w:t>
      </w:r>
    </w:p>
    <w:p w14:paraId="58027DE7" w14:textId="185F92CC" w:rsidR="006E2E37" w:rsidRDefault="008B4B8A" w:rsidP="00D76441">
      <w:pPr>
        <w:rPr>
          <w:rFonts w:ascii="Times New Roman" w:eastAsia="黑体" w:hAnsi="Times New Roman" w:cs="Times New Roman"/>
          <w:sz w:val="20"/>
          <w:szCs w:val="20"/>
        </w:rPr>
      </w:pPr>
      <w:r w:rsidRPr="001D0910">
        <w:rPr>
          <w:rFonts w:ascii="Times New Roman" w:eastAsia="黑体" w:hAnsi="Times New Roman" w:cs="Times New Roman"/>
          <w:b/>
          <w:bCs/>
          <w:sz w:val="20"/>
          <w:szCs w:val="20"/>
        </w:rPr>
        <w:t>.nc</w:t>
      </w:r>
      <w:r>
        <w:rPr>
          <w:rFonts w:ascii="Times New Roman" w:eastAsia="黑体" w:hAnsi="Times New Roman" w:cs="Times New Roman"/>
          <w:sz w:val="20"/>
          <w:szCs w:val="20"/>
        </w:rPr>
        <w:t xml:space="preserve"> denotes the NetCDF file format.</w:t>
      </w:r>
    </w:p>
    <w:p w14:paraId="72A4F223" w14:textId="77777777" w:rsidR="006E2E37" w:rsidRDefault="008B4B8A" w:rsidP="00D76441">
      <w:pPr>
        <w:rPr>
          <w:rFonts w:ascii="Times New Roman" w:eastAsia="黑体" w:hAnsi="Times New Roman" w:cs="Times New Roman"/>
          <w:b/>
          <w:bCs/>
          <w:sz w:val="20"/>
          <w:szCs w:val="20"/>
        </w:rPr>
      </w:pPr>
      <w:r>
        <w:rPr>
          <w:rFonts w:ascii="Times New Roman" w:eastAsia="黑体" w:hAnsi="Times New Roman" w:cs="Times New Roman"/>
          <w:b/>
          <w:bCs/>
          <w:sz w:val="20"/>
          <w:szCs w:val="20"/>
        </w:rPr>
        <w:t>For example:</w:t>
      </w:r>
    </w:p>
    <w:p w14:paraId="3CEA2625" w14:textId="77777777" w:rsidR="006E2E37" w:rsidRDefault="008B4B8A" w:rsidP="00D76441">
      <w:pPr>
        <w:rPr>
          <w:rFonts w:ascii="Times New Roman" w:eastAsia="黑体" w:hAnsi="Times New Roman" w:cs="Times New Roman"/>
          <w:sz w:val="20"/>
          <w:szCs w:val="20"/>
        </w:rPr>
      </w:pPr>
      <w:r>
        <w:rPr>
          <w:rFonts w:ascii="Times New Roman" w:eastAsia="黑体" w:hAnsi="Times New Roman" w:cs="Times New Roman"/>
          <w:sz w:val="20"/>
          <w:szCs w:val="20"/>
        </w:rPr>
        <w:t>TEC_BDSGEO_20242650000_01D_30S.nc</w:t>
      </w:r>
    </w:p>
    <w:p w14:paraId="38119E2C" w14:textId="53D98EC1" w:rsidR="006E2E37" w:rsidRDefault="008B4B8A" w:rsidP="00D76441">
      <w:pPr>
        <w:rPr>
          <w:rFonts w:ascii="Times New Roman" w:eastAsia="黑体" w:hAnsi="Times New Roman" w:cs="Times New Roman"/>
          <w:sz w:val="20"/>
          <w:szCs w:val="20"/>
        </w:rPr>
      </w:pPr>
      <w:r>
        <w:rPr>
          <w:rFonts w:ascii="Times New Roman" w:eastAsia="黑体" w:hAnsi="Times New Roman" w:cs="Times New Roman"/>
          <w:sz w:val="20"/>
          <w:szCs w:val="20"/>
        </w:rPr>
        <w:t>GIX_BDSGEO_20242650000_01D_15M.nc</w:t>
      </w:r>
    </w:p>
    <w:p w14:paraId="6CA21021" w14:textId="174EC9C0" w:rsidR="00767AA8" w:rsidRDefault="00767AA8" w:rsidP="00D76441">
      <w:pPr>
        <w:rPr>
          <w:rFonts w:ascii="Times New Roman" w:eastAsia="黑体" w:hAnsi="Times New Roman" w:cs="Times New Roman"/>
          <w:sz w:val="20"/>
          <w:szCs w:val="20"/>
        </w:rPr>
      </w:pPr>
      <w:r w:rsidRPr="00767AA8">
        <w:rPr>
          <w:rFonts w:ascii="Times New Roman" w:eastAsia="黑体" w:hAnsi="Times New Roman" w:cs="Times New Roman"/>
          <w:sz w:val="20"/>
          <w:szCs w:val="20"/>
        </w:rPr>
        <w:t>These files correspond to the Level-1 and Level-2 products for DOY 265 in 2024, i.e., 21 September 2024. Each file covers one UTC day starting from 00:00 UTC.</w:t>
      </w:r>
    </w:p>
    <w:p w14:paraId="02E90D4F" w14:textId="77777777" w:rsidR="00A4674B" w:rsidRDefault="00A4674B" w:rsidP="00D76441">
      <w:pPr>
        <w:rPr>
          <w:rFonts w:ascii="Times New Roman" w:eastAsia="黑体" w:hAnsi="Times New Roman" w:cs="Times New Roman"/>
          <w:sz w:val="20"/>
          <w:szCs w:val="20"/>
        </w:rPr>
      </w:pPr>
    </w:p>
    <w:p w14:paraId="3E35830C" w14:textId="77777777" w:rsidR="006E2E37" w:rsidRDefault="008B4B8A" w:rsidP="00D76441">
      <w:pPr>
        <w:pStyle w:val="1"/>
        <w:spacing w:before="120" w:after="120" w:line="240" w:lineRule="auto"/>
        <w:rPr>
          <w:rFonts w:ascii="Times New Roman" w:eastAsia="宋体" w:hAnsi="Times New Roman" w:cs="Times New Roman"/>
          <w:sz w:val="24"/>
          <w:szCs w:val="24"/>
        </w:rPr>
      </w:pPr>
      <w:r>
        <w:rPr>
          <w:rFonts w:ascii="Times New Roman" w:eastAsia="宋体" w:hAnsi="Times New Roman" w:cs="Times New Roman"/>
          <w:sz w:val="24"/>
          <w:szCs w:val="24"/>
        </w:rPr>
        <w:t>4. Level-1 product description</w:t>
      </w:r>
    </w:p>
    <w:p w14:paraId="2B3024A1" w14:textId="290CCCB8" w:rsidR="004C4222" w:rsidRDefault="004C4222" w:rsidP="00D76441">
      <w:pPr>
        <w:rPr>
          <w:rFonts w:ascii="Times New Roman" w:eastAsia="黑体" w:hAnsi="Times New Roman" w:cs="Times New Roman"/>
          <w:sz w:val="20"/>
          <w:szCs w:val="20"/>
        </w:rPr>
      </w:pPr>
      <w:r w:rsidRPr="004C4222">
        <w:rPr>
          <w:rFonts w:ascii="Times New Roman" w:eastAsia="黑体" w:hAnsi="Times New Roman" w:cs="Times New Roman"/>
          <w:sz w:val="20"/>
          <w:szCs w:val="20"/>
        </w:rPr>
        <w:t>The Level-1 products are released as one-dimensional observation-level records for all valid receiver–GEO satellite LOSs within each daily file.</w:t>
      </w:r>
      <w:r w:rsidR="008B4B8A">
        <w:rPr>
          <w:rFonts w:ascii="Times New Roman" w:eastAsia="黑体" w:hAnsi="Times New Roman" w:cs="Times New Roman"/>
          <w:sz w:val="20"/>
          <w:szCs w:val="20"/>
        </w:rPr>
        <w:t xml:space="preserve"> </w:t>
      </w:r>
      <w:r w:rsidRPr="004C4222">
        <w:rPr>
          <w:rFonts w:ascii="Times New Roman" w:eastAsia="黑体" w:hAnsi="Times New Roman" w:cs="Times New Roman"/>
          <w:sz w:val="20"/>
          <w:szCs w:val="20"/>
        </w:rPr>
        <w:t>All valid LOS samples are concatenated along a common observation dimension. Each element in this dimension corresponds to one observation epoch for one receiver</w:t>
      </w:r>
      <w:r>
        <w:rPr>
          <w:rFonts w:ascii="Times New Roman" w:eastAsia="黑体" w:hAnsi="Times New Roman" w:cs="Times New Roman"/>
          <w:sz w:val="20"/>
          <w:szCs w:val="20"/>
        </w:rPr>
        <w:t>-</w:t>
      </w:r>
      <w:r w:rsidRPr="004C4222">
        <w:rPr>
          <w:rFonts w:ascii="Times New Roman" w:eastAsia="黑体" w:hAnsi="Times New Roman" w:cs="Times New Roman"/>
          <w:sz w:val="20"/>
          <w:szCs w:val="20"/>
        </w:rPr>
        <w:t>GEO satellite LOS.</w:t>
      </w:r>
    </w:p>
    <w:p w14:paraId="25F1418C" w14:textId="5E06E2AF" w:rsidR="006E2E37" w:rsidRPr="00401983" w:rsidRDefault="004C4222" w:rsidP="00D76441">
      <w:pPr>
        <w:ind w:firstLineChars="200" w:firstLine="400"/>
        <w:rPr>
          <w:rFonts w:ascii="Times New Roman" w:eastAsia="黑体" w:hAnsi="Times New Roman" w:cs="Times New Roman"/>
          <w:sz w:val="20"/>
          <w:szCs w:val="20"/>
        </w:rPr>
      </w:pPr>
      <w:r w:rsidRPr="004C4222">
        <w:rPr>
          <w:rFonts w:ascii="Times New Roman" w:eastAsia="黑体" w:hAnsi="Times New Roman" w:cs="Times New Roman"/>
          <w:sz w:val="20"/>
          <w:szCs w:val="20"/>
        </w:rPr>
        <w:t>The Level-1 records include the GEO-derived STEC, the corresponding ROTI, the satellite elevation angle, the IPP latitude and longitude, and the LOS identifier.</w:t>
      </w:r>
      <w:r>
        <w:rPr>
          <w:rFonts w:ascii="Times New Roman" w:eastAsia="黑体" w:hAnsi="Times New Roman" w:cs="Times New Roman"/>
          <w:sz w:val="20"/>
          <w:szCs w:val="20"/>
        </w:rPr>
        <w:t xml:space="preserve"> </w:t>
      </w:r>
      <w:r w:rsidR="00366681" w:rsidRPr="00366681">
        <w:rPr>
          <w:rFonts w:ascii="Times New Roman" w:eastAsia="黑体" w:hAnsi="Times New Roman" w:cs="Times New Roman"/>
          <w:sz w:val="20"/>
          <w:szCs w:val="20"/>
        </w:rPr>
        <w:t>A specific single-LOS time series can be extracted using the unique LOS ID.</w:t>
      </w:r>
      <w:r w:rsidR="00366681">
        <w:rPr>
          <w:rFonts w:ascii="Times New Roman" w:eastAsia="黑体" w:hAnsi="Times New Roman" w:cs="Times New Roman"/>
          <w:sz w:val="20"/>
          <w:szCs w:val="20"/>
        </w:rPr>
        <w:t xml:space="preserve"> </w:t>
      </w:r>
      <w:r w:rsidR="008B4B8A">
        <w:rPr>
          <w:rFonts w:ascii="Times New Roman" w:eastAsia="黑体" w:hAnsi="Times New Roman" w:cs="Times New Roman"/>
          <w:sz w:val="20"/>
          <w:szCs w:val="20"/>
        </w:rPr>
        <w:t xml:space="preserve">The main variables released in the Level-1 products are summarized in </w:t>
      </w:r>
      <w:r w:rsidR="008B4B8A" w:rsidRPr="00135F38">
        <w:rPr>
          <w:rFonts w:ascii="Times New Roman" w:eastAsia="宋体" w:hAnsi="Times New Roman" w:cs="Times New Roman"/>
          <w:color w:val="0070C0"/>
          <w:sz w:val="20"/>
          <w:szCs w:val="20"/>
        </w:rPr>
        <w:t xml:space="preserve">Table </w:t>
      </w:r>
      <w:r w:rsidR="00FE11FD" w:rsidRPr="00135F38">
        <w:rPr>
          <w:rFonts w:ascii="Times New Roman" w:eastAsia="宋体" w:hAnsi="Times New Roman" w:cs="Times New Roman"/>
          <w:color w:val="0070C0"/>
          <w:sz w:val="20"/>
          <w:szCs w:val="20"/>
        </w:rPr>
        <w:t>1</w:t>
      </w:r>
      <w:r w:rsidR="008B4B8A">
        <w:rPr>
          <w:rFonts w:ascii="Times New Roman" w:eastAsia="黑体" w:hAnsi="Times New Roman" w:cs="Times New Roman"/>
          <w:sz w:val="20"/>
          <w:szCs w:val="20"/>
        </w:rPr>
        <w:t>.</w:t>
      </w:r>
    </w:p>
    <w:p w14:paraId="336C57B3" w14:textId="659DD2FE" w:rsidR="006E2E37" w:rsidRDefault="008B4B8A" w:rsidP="00D76441">
      <w:pPr>
        <w:pStyle w:val="a8"/>
        <w:spacing w:afterLines="30" w:after="93"/>
        <w:ind w:firstLineChars="0" w:firstLine="0"/>
        <w:jc w:val="center"/>
        <w:textAlignment w:val="center"/>
        <w:rPr>
          <w:rFonts w:ascii="Times New Roman" w:hAnsi="Times New Roman"/>
          <w:b/>
          <w:bCs/>
          <w:color w:val="0070C0"/>
          <w:sz w:val="20"/>
          <w:szCs w:val="20"/>
        </w:rPr>
      </w:pPr>
      <w:r>
        <w:rPr>
          <w:rFonts w:ascii="Times New Roman" w:hAnsi="Times New Roman" w:hint="eastAsia"/>
          <w:b/>
          <w:bCs/>
          <w:color w:val="0070C0"/>
          <w:sz w:val="20"/>
          <w:szCs w:val="20"/>
        </w:rPr>
        <w:t>T</w:t>
      </w:r>
      <w:r>
        <w:rPr>
          <w:rFonts w:ascii="Times New Roman" w:hAnsi="Times New Roman"/>
          <w:b/>
          <w:bCs/>
          <w:color w:val="0070C0"/>
          <w:sz w:val="20"/>
          <w:szCs w:val="20"/>
        </w:rPr>
        <w:t xml:space="preserve">able </w:t>
      </w:r>
      <w:r w:rsidR="00FE11FD">
        <w:rPr>
          <w:rFonts w:ascii="Times New Roman" w:hAnsi="Times New Roman"/>
          <w:b/>
          <w:bCs/>
          <w:color w:val="0070C0"/>
          <w:sz w:val="20"/>
          <w:szCs w:val="20"/>
        </w:rPr>
        <w:t>1</w:t>
      </w:r>
      <w:r>
        <w:rPr>
          <w:rFonts w:ascii="Times New Roman" w:hAnsi="Times New Roman"/>
          <w:b/>
          <w:bCs/>
          <w:color w:val="0070C0"/>
          <w:sz w:val="20"/>
          <w:szCs w:val="20"/>
        </w:rPr>
        <w:t xml:space="preserve">. </w:t>
      </w:r>
      <w:r w:rsidRPr="00DC697E">
        <w:rPr>
          <w:rFonts w:ascii="Times New Roman" w:hAnsi="Times New Roman"/>
          <w:color w:val="0070C0"/>
          <w:sz w:val="20"/>
          <w:szCs w:val="20"/>
        </w:rPr>
        <w:t>Level-1 variables released in the GIFT-BDS dataset.</w:t>
      </w:r>
    </w:p>
    <w:tbl>
      <w:tblPr>
        <w:tblStyle w:val="21"/>
        <w:tblW w:w="0" w:type="auto"/>
        <w:jc w:val="center"/>
        <w:tblLook w:val="04A0" w:firstRow="1" w:lastRow="0" w:firstColumn="1" w:lastColumn="0" w:noHBand="0" w:noVBand="1"/>
      </w:tblPr>
      <w:tblGrid>
        <w:gridCol w:w="1419"/>
        <w:gridCol w:w="4251"/>
        <w:gridCol w:w="1251"/>
      </w:tblGrid>
      <w:tr w:rsidR="006E2E37" w14:paraId="197839CC" w14:textId="77777777" w:rsidTr="006E2E3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419" w:type="dxa"/>
            <w:tcBorders>
              <w:top w:val="single" w:sz="12" w:space="0" w:color="000000"/>
            </w:tcBorders>
            <w:vAlign w:val="center"/>
          </w:tcPr>
          <w:p w14:paraId="5E6D3E93" w14:textId="77777777" w:rsidR="006E2E37" w:rsidRDefault="008B4B8A" w:rsidP="00D76441">
            <w:pPr>
              <w:jc w:val="center"/>
              <w:rPr>
                <w:color w:val="0070C0"/>
                <w:kern w:val="0"/>
                <w:sz w:val="18"/>
                <w:szCs w:val="18"/>
              </w:rPr>
            </w:pPr>
            <w:r>
              <w:rPr>
                <w:color w:val="0070C0"/>
                <w:kern w:val="0"/>
                <w:sz w:val="18"/>
                <w:szCs w:val="18"/>
              </w:rPr>
              <w:t xml:space="preserve">Variable </w:t>
            </w:r>
            <w:r>
              <w:rPr>
                <w:rFonts w:hint="eastAsia"/>
                <w:color w:val="0070C0"/>
                <w:kern w:val="0"/>
                <w:sz w:val="18"/>
                <w:szCs w:val="18"/>
              </w:rPr>
              <w:t>name</w:t>
            </w:r>
          </w:p>
        </w:tc>
        <w:tc>
          <w:tcPr>
            <w:tcW w:w="4251" w:type="dxa"/>
            <w:tcBorders>
              <w:top w:val="single" w:sz="12" w:space="0" w:color="000000"/>
            </w:tcBorders>
            <w:vAlign w:val="center"/>
          </w:tcPr>
          <w:p w14:paraId="2006715C" w14:textId="77777777" w:rsidR="006E2E37" w:rsidRDefault="008B4B8A" w:rsidP="00D76441">
            <w:pPr>
              <w:jc w:val="center"/>
              <w:cnfStyle w:val="100000000000" w:firstRow="1" w:lastRow="0" w:firstColumn="0" w:lastColumn="0" w:oddVBand="0" w:evenVBand="0" w:oddHBand="0" w:evenHBand="0" w:firstRowFirstColumn="0" w:firstRowLastColumn="0" w:lastRowFirstColumn="0" w:lastRowLastColumn="0"/>
              <w:rPr>
                <w:color w:val="0070C0"/>
                <w:kern w:val="0"/>
                <w:sz w:val="18"/>
                <w:szCs w:val="18"/>
              </w:rPr>
            </w:pPr>
            <w:r>
              <w:rPr>
                <w:color w:val="0070C0"/>
                <w:kern w:val="0"/>
                <w:sz w:val="18"/>
                <w:szCs w:val="18"/>
              </w:rPr>
              <w:t>Description</w:t>
            </w:r>
          </w:p>
        </w:tc>
        <w:tc>
          <w:tcPr>
            <w:tcW w:w="1251" w:type="dxa"/>
            <w:tcBorders>
              <w:top w:val="single" w:sz="12" w:space="0" w:color="000000"/>
            </w:tcBorders>
            <w:vAlign w:val="center"/>
          </w:tcPr>
          <w:p w14:paraId="323795BD" w14:textId="77777777" w:rsidR="006E2E37" w:rsidRDefault="008B4B8A" w:rsidP="00D76441">
            <w:pPr>
              <w:jc w:val="center"/>
              <w:cnfStyle w:val="100000000000" w:firstRow="1" w:lastRow="0" w:firstColumn="0" w:lastColumn="0" w:oddVBand="0" w:evenVBand="0" w:oddHBand="0" w:evenHBand="0" w:firstRowFirstColumn="0" w:firstRowLastColumn="0" w:lastRowFirstColumn="0" w:lastRowLastColumn="0"/>
              <w:rPr>
                <w:color w:val="0070C0"/>
                <w:kern w:val="0"/>
                <w:sz w:val="18"/>
                <w:szCs w:val="18"/>
              </w:rPr>
            </w:pPr>
            <w:r>
              <w:rPr>
                <w:color w:val="0070C0"/>
                <w:kern w:val="0"/>
                <w:sz w:val="18"/>
                <w:szCs w:val="18"/>
              </w:rPr>
              <w:t>Unit</w:t>
            </w:r>
          </w:p>
        </w:tc>
      </w:tr>
      <w:tr w:rsidR="0075204E" w14:paraId="0349B7D6" w14:textId="77777777" w:rsidTr="006E2E37">
        <w:trPr>
          <w:trHeight w:val="397"/>
          <w:jc w:val="center"/>
        </w:trPr>
        <w:tc>
          <w:tcPr>
            <w:cnfStyle w:val="001000000000" w:firstRow="0" w:lastRow="0" w:firstColumn="1" w:lastColumn="0" w:oddVBand="0" w:evenVBand="0" w:oddHBand="0" w:evenHBand="0" w:firstRowFirstColumn="0" w:firstRowLastColumn="0" w:lastRowFirstColumn="0" w:lastRowLastColumn="0"/>
            <w:tcW w:w="1419" w:type="dxa"/>
            <w:vAlign w:val="center"/>
          </w:tcPr>
          <w:p w14:paraId="1C5C92D1" w14:textId="54549635" w:rsidR="0075204E" w:rsidRPr="004B5552" w:rsidRDefault="0075204E" w:rsidP="00D76441">
            <w:pPr>
              <w:jc w:val="center"/>
              <w:rPr>
                <w:kern w:val="0"/>
                <w:sz w:val="18"/>
                <w:szCs w:val="18"/>
              </w:rPr>
            </w:pPr>
            <w:r w:rsidRPr="0075204E">
              <w:rPr>
                <w:rFonts w:hint="eastAsia"/>
                <w:b w:val="0"/>
                <w:bCs w:val="0"/>
                <w:kern w:val="0"/>
                <w:sz w:val="18"/>
                <w:szCs w:val="18"/>
              </w:rPr>
              <w:t>t</w:t>
            </w:r>
            <w:r w:rsidRPr="0075204E">
              <w:rPr>
                <w:b w:val="0"/>
                <w:bCs w:val="0"/>
                <w:kern w:val="0"/>
                <w:sz w:val="18"/>
                <w:szCs w:val="18"/>
              </w:rPr>
              <w:t>ime</w:t>
            </w:r>
          </w:p>
        </w:tc>
        <w:tc>
          <w:tcPr>
            <w:tcW w:w="4251" w:type="dxa"/>
            <w:vAlign w:val="center"/>
          </w:tcPr>
          <w:p w14:paraId="26792129" w14:textId="6B4F4F21" w:rsidR="0075204E" w:rsidRDefault="009C1F28" w:rsidP="00D76441">
            <w:pPr>
              <w:jc w:val="center"/>
              <w:cnfStyle w:val="000000000000" w:firstRow="0" w:lastRow="0" w:firstColumn="0" w:lastColumn="0" w:oddVBand="0" w:evenVBand="0" w:oddHBand="0" w:evenHBand="0" w:firstRowFirstColumn="0" w:firstRowLastColumn="0" w:lastRowFirstColumn="0" w:lastRowLastColumn="0"/>
              <w:rPr>
                <w:kern w:val="0"/>
                <w:sz w:val="18"/>
                <w:szCs w:val="18"/>
              </w:rPr>
            </w:pPr>
            <w:r w:rsidRPr="009C1F28">
              <w:rPr>
                <w:kern w:val="0"/>
                <w:sz w:val="18"/>
                <w:szCs w:val="18"/>
              </w:rPr>
              <w:t>Observation time in UTC</w:t>
            </w:r>
          </w:p>
        </w:tc>
        <w:tc>
          <w:tcPr>
            <w:tcW w:w="1251" w:type="dxa"/>
            <w:vAlign w:val="center"/>
          </w:tcPr>
          <w:p w14:paraId="0FF9F571" w14:textId="2750B32A" w:rsidR="0075204E" w:rsidRDefault="009C1F28" w:rsidP="00D76441">
            <w:pPr>
              <w:jc w:val="center"/>
              <w:cnfStyle w:val="000000000000" w:firstRow="0" w:lastRow="0" w:firstColumn="0" w:lastColumn="0" w:oddVBand="0" w:evenVBand="0" w:oddHBand="0" w:evenHBand="0" w:firstRowFirstColumn="0" w:firstRowLastColumn="0" w:lastRowFirstColumn="0" w:lastRowLastColumn="0"/>
              <w:rPr>
                <w:rFonts w:eastAsia="等线"/>
                <w:kern w:val="0"/>
                <w:sz w:val="18"/>
                <w:szCs w:val="18"/>
              </w:rPr>
            </w:pPr>
            <w:r w:rsidRPr="009C1F28">
              <w:rPr>
                <w:rFonts w:eastAsia="等线"/>
                <w:kern w:val="0"/>
                <w:sz w:val="18"/>
                <w:szCs w:val="18"/>
              </w:rPr>
              <w:t>seconds since 00:00 UTC</w:t>
            </w:r>
          </w:p>
        </w:tc>
      </w:tr>
      <w:tr w:rsidR="006E2E37" w14:paraId="737CD226" w14:textId="77777777" w:rsidTr="006E2E37">
        <w:trPr>
          <w:trHeight w:val="397"/>
          <w:jc w:val="center"/>
        </w:trPr>
        <w:tc>
          <w:tcPr>
            <w:cnfStyle w:val="001000000000" w:firstRow="0" w:lastRow="0" w:firstColumn="1" w:lastColumn="0" w:oddVBand="0" w:evenVBand="0" w:oddHBand="0" w:evenHBand="0" w:firstRowFirstColumn="0" w:firstRowLastColumn="0" w:lastRowFirstColumn="0" w:lastRowLastColumn="0"/>
            <w:tcW w:w="1419" w:type="dxa"/>
            <w:vAlign w:val="center"/>
          </w:tcPr>
          <w:p w14:paraId="344DFB30" w14:textId="64FDD5F5" w:rsidR="006E2E37" w:rsidRDefault="004B5552" w:rsidP="00D76441">
            <w:pPr>
              <w:jc w:val="center"/>
              <w:rPr>
                <w:b w:val="0"/>
                <w:bCs w:val="0"/>
                <w:kern w:val="0"/>
                <w:sz w:val="18"/>
                <w:szCs w:val="18"/>
              </w:rPr>
            </w:pPr>
            <w:r w:rsidRPr="004B5552">
              <w:rPr>
                <w:b w:val="0"/>
                <w:bCs w:val="0"/>
                <w:kern w:val="0"/>
                <w:sz w:val="18"/>
                <w:szCs w:val="18"/>
              </w:rPr>
              <w:t>IPP_STEC</w:t>
            </w:r>
          </w:p>
        </w:tc>
        <w:tc>
          <w:tcPr>
            <w:tcW w:w="4251" w:type="dxa"/>
            <w:vAlign w:val="center"/>
          </w:tcPr>
          <w:p w14:paraId="2EAA1D21"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kern w:val="0"/>
                <w:sz w:val="18"/>
                <w:szCs w:val="18"/>
              </w:rPr>
            </w:pPr>
            <w:r>
              <w:rPr>
                <w:kern w:val="0"/>
                <w:sz w:val="18"/>
                <w:szCs w:val="18"/>
              </w:rPr>
              <w:t>GEO-derived slant TEC along the receiver-satellite LOS</w:t>
            </w:r>
          </w:p>
        </w:tc>
        <w:tc>
          <w:tcPr>
            <w:tcW w:w="1251" w:type="dxa"/>
            <w:vAlign w:val="center"/>
          </w:tcPr>
          <w:p w14:paraId="4F2C59C6"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rFonts w:eastAsia="等线"/>
                <w:kern w:val="0"/>
                <w:sz w:val="18"/>
                <w:szCs w:val="18"/>
              </w:rPr>
            </w:pPr>
            <w:r>
              <w:rPr>
                <w:rFonts w:eastAsia="等线"/>
                <w:kern w:val="0"/>
                <w:sz w:val="18"/>
                <w:szCs w:val="18"/>
              </w:rPr>
              <w:t>TECU</w:t>
            </w:r>
          </w:p>
        </w:tc>
      </w:tr>
      <w:tr w:rsidR="006E2E37" w14:paraId="4C6DD6FC" w14:textId="77777777" w:rsidTr="006E2E37">
        <w:trPr>
          <w:trHeight w:val="397"/>
          <w:jc w:val="center"/>
        </w:trPr>
        <w:tc>
          <w:tcPr>
            <w:cnfStyle w:val="001000000000" w:firstRow="0" w:lastRow="0" w:firstColumn="1" w:lastColumn="0" w:oddVBand="0" w:evenVBand="0" w:oddHBand="0" w:evenHBand="0" w:firstRowFirstColumn="0" w:firstRowLastColumn="0" w:lastRowFirstColumn="0" w:lastRowLastColumn="0"/>
            <w:tcW w:w="1419" w:type="dxa"/>
            <w:vAlign w:val="center"/>
          </w:tcPr>
          <w:p w14:paraId="1696F81D" w14:textId="455E5E5C" w:rsidR="006E2E37" w:rsidRDefault="004B5552" w:rsidP="00D76441">
            <w:pPr>
              <w:jc w:val="center"/>
              <w:rPr>
                <w:b w:val="0"/>
                <w:bCs w:val="0"/>
                <w:kern w:val="0"/>
                <w:sz w:val="18"/>
                <w:szCs w:val="18"/>
                <w:vertAlign w:val="subscript"/>
              </w:rPr>
            </w:pPr>
            <w:r w:rsidRPr="004B5552">
              <w:rPr>
                <w:b w:val="0"/>
                <w:bCs w:val="0"/>
                <w:kern w:val="0"/>
                <w:sz w:val="18"/>
                <w:szCs w:val="18"/>
              </w:rPr>
              <w:t>IPP_ROTI</w:t>
            </w:r>
          </w:p>
        </w:tc>
        <w:tc>
          <w:tcPr>
            <w:tcW w:w="4251" w:type="dxa"/>
            <w:vAlign w:val="center"/>
          </w:tcPr>
          <w:p w14:paraId="38B93133"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kern w:val="0"/>
                <w:sz w:val="18"/>
                <w:szCs w:val="18"/>
              </w:rPr>
            </w:pPr>
            <w:r>
              <w:rPr>
                <w:kern w:val="0"/>
                <w:sz w:val="18"/>
                <w:szCs w:val="18"/>
              </w:rPr>
              <w:t>Rate of TEC index derived from the STEC time series</w:t>
            </w:r>
          </w:p>
        </w:tc>
        <w:tc>
          <w:tcPr>
            <w:tcW w:w="1251" w:type="dxa"/>
            <w:vAlign w:val="center"/>
          </w:tcPr>
          <w:p w14:paraId="33A14200"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rFonts w:eastAsia="等线"/>
                <w:kern w:val="0"/>
                <w:sz w:val="18"/>
                <w:szCs w:val="18"/>
              </w:rPr>
            </w:pPr>
            <w:r>
              <w:rPr>
                <w:rFonts w:eastAsia="等线"/>
                <w:kern w:val="0"/>
                <w:sz w:val="18"/>
                <w:szCs w:val="18"/>
              </w:rPr>
              <w:t>TECU/min</w:t>
            </w:r>
          </w:p>
        </w:tc>
      </w:tr>
      <w:tr w:rsidR="006E2E37" w14:paraId="5AFD17B9" w14:textId="77777777" w:rsidTr="006E2E37">
        <w:trPr>
          <w:trHeight w:val="397"/>
          <w:jc w:val="center"/>
        </w:trPr>
        <w:tc>
          <w:tcPr>
            <w:cnfStyle w:val="001000000000" w:firstRow="0" w:lastRow="0" w:firstColumn="1" w:lastColumn="0" w:oddVBand="0" w:evenVBand="0" w:oddHBand="0" w:evenHBand="0" w:firstRowFirstColumn="0" w:firstRowLastColumn="0" w:lastRowFirstColumn="0" w:lastRowLastColumn="0"/>
            <w:tcW w:w="1419" w:type="dxa"/>
            <w:vAlign w:val="center"/>
          </w:tcPr>
          <w:p w14:paraId="2CDD6B59" w14:textId="4747E8EC" w:rsidR="006E2E37" w:rsidRDefault="00F00383" w:rsidP="00D76441">
            <w:pPr>
              <w:jc w:val="center"/>
              <w:rPr>
                <w:b w:val="0"/>
                <w:bCs w:val="0"/>
                <w:kern w:val="0"/>
                <w:sz w:val="18"/>
                <w:szCs w:val="18"/>
              </w:rPr>
            </w:pPr>
            <w:r w:rsidRPr="00F00383">
              <w:rPr>
                <w:b w:val="0"/>
                <w:bCs w:val="0"/>
                <w:kern w:val="0"/>
                <w:sz w:val="18"/>
                <w:szCs w:val="18"/>
              </w:rPr>
              <w:t>IPP_ELEV</w:t>
            </w:r>
          </w:p>
        </w:tc>
        <w:tc>
          <w:tcPr>
            <w:tcW w:w="4251" w:type="dxa"/>
            <w:vAlign w:val="center"/>
          </w:tcPr>
          <w:p w14:paraId="456BFB17"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kern w:val="0"/>
                <w:sz w:val="18"/>
                <w:szCs w:val="18"/>
              </w:rPr>
            </w:pPr>
            <w:r>
              <w:rPr>
                <w:kern w:val="0"/>
                <w:sz w:val="18"/>
                <w:szCs w:val="18"/>
              </w:rPr>
              <w:t>Satellite elevation angle at the receiver</w:t>
            </w:r>
          </w:p>
        </w:tc>
        <w:tc>
          <w:tcPr>
            <w:tcW w:w="1251" w:type="dxa"/>
            <w:vAlign w:val="center"/>
          </w:tcPr>
          <w:p w14:paraId="5A8C7F50"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rFonts w:eastAsia="等线"/>
                <w:kern w:val="0"/>
                <w:sz w:val="18"/>
                <w:szCs w:val="18"/>
              </w:rPr>
            </w:pPr>
            <w:r>
              <w:rPr>
                <w:rFonts w:eastAsia="等线"/>
                <w:kern w:val="0"/>
                <w:sz w:val="18"/>
                <w:szCs w:val="18"/>
              </w:rPr>
              <w:t>d</w:t>
            </w:r>
            <w:r>
              <w:rPr>
                <w:rFonts w:eastAsia="等线" w:hint="eastAsia"/>
                <w:kern w:val="0"/>
                <w:sz w:val="18"/>
                <w:szCs w:val="18"/>
              </w:rPr>
              <w:t>egree</w:t>
            </w:r>
          </w:p>
        </w:tc>
      </w:tr>
      <w:tr w:rsidR="006E2E37" w14:paraId="57D71A4C" w14:textId="77777777" w:rsidTr="006E2E37">
        <w:trPr>
          <w:trHeight w:val="397"/>
          <w:jc w:val="center"/>
        </w:trPr>
        <w:tc>
          <w:tcPr>
            <w:cnfStyle w:val="001000000000" w:firstRow="0" w:lastRow="0" w:firstColumn="1" w:lastColumn="0" w:oddVBand="0" w:evenVBand="0" w:oddHBand="0" w:evenHBand="0" w:firstRowFirstColumn="0" w:firstRowLastColumn="0" w:lastRowFirstColumn="0" w:lastRowLastColumn="0"/>
            <w:tcW w:w="1419" w:type="dxa"/>
            <w:vAlign w:val="center"/>
          </w:tcPr>
          <w:p w14:paraId="3A83F11E" w14:textId="4700A386" w:rsidR="006E2E37" w:rsidRDefault="004B5552" w:rsidP="00D76441">
            <w:pPr>
              <w:jc w:val="center"/>
              <w:rPr>
                <w:b w:val="0"/>
                <w:bCs w:val="0"/>
                <w:kern w:val="0"/>
                <w:sz w:val="18"/>
                <w:szCs w:val="18"/>
              </w:rPr>
            </w:pPr>
            <w:r w:rsidRPr="004B5552">
              <w:rPr>
                <w:b w:val="0"/>
                <w:bCs w:val="0"/>
                <w:kern w:val="0"/>
                <w:sz w:val="18"/>
                <w:szCs w:val="18"/>
              </w:rPr>
              <w:t>IPP_lat</w:t>
            </w:r>
          </w:p>
        </w:tc>
        <w:tc>
          <w:tcPr>
            <w:tcW w:w="4251" w:type="dxa"/>
            <w:vAlign w:val="center"/>
          </w:tcPr>
          <w:p w14:paraId="72C5EEBA"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kern w:val="0"/>
                <w:sz w:val="18"/>
                <w:szCs w:val="18"/>
              </w:rPr>
            </w:pPr>
            <w:r>
              <w:rPr>
                <w:kern w:val="0"/>
                <w:sz w:val="18"/>
                <w:szCs w:val="18"/>
              </w:rPr>
              <w:t xml:space="preserve">Latitude of the </w:t>
            </w:r>
            <w:r>
              <w:rPr>
                <w:rFonts w:hint="eastAsia"/>
                <w:kern w:val="0"/>
                <w:sz w:val="18"/>
                <w:szCs w:val="18"/>
              </w:rPr>
              <w:t>IPP</w:t>
            </w:r>
            <w:r>
              <w:rPr>
                <w:kern w:val="0"/>
                <w:sz w:val="18"/>
                <w:szCs w:val="18"/>
              </w:rPr>
              <w:t xml:space="preserve"> on the ionospheric shell at 400 km</w:t>
            </w:r>
          </w:p>
        </w:tc>
        <w:tc>
          <w:tcPr>
            <w:tcW w:w="1251" w:type="dxa"/>
            <w:vAlign w:val="center"/>
          </w:tcPr>
          <w:p w14:paraId="2E6445D0"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rFonts w:eastAsia="等线"/>
                <w:kern w:val="0"/>
                <w:sz w:val="18"/>
                <w:szCs w:val="18"/>
              </w:rPr>
            </w:pPr>
            <w:r>
              <w:rPr>
                <w:rFonts w:eastAsia="等线"/>
                <w:kern w:val="0"/>
                <w:sz w:val="18"/>
                <w:szCs w:val="18"/>
              </w:rPr>
              <w:t>d</w:t>
            </w:r>
            <w:r>
              <w:rPr>
                <w:rFonts w:eastAsia="等线" w:hint="eastAsia"/>
                <w:kern w:val="0"/>
                <w:sz w:val="18"/>
                <w:szCs w:val="18"/>
              </w:rPr>
              <w:t>egree</w:t>
            </w:r>
          </w:p>
        </w:tc>
      </w:tr>
      <w:tr w:rsidR="006E2E37" w14:paraId="61FFA8D8" w14:textId="77777777" w:rsidTr="006E2E37">
        <w:trPr>
          <w:trHeight w:val="397"/>
          <w:jc w:val="center"/>
        </w:trPr>
        <w:tc>
          <w:tcPr>
            <w:cnfStyle w:val="001000000000" w:firstRow="0" w:lastRow="0" w:firstColumn="1" w:lastColumn="0" w:oddVBand="0" w:evenVBand="0" w:oddHBand="0" w:evenHBand="0" w:firstRowFirstColumn="0" w:firstRowLastColumn="0" w:lastRowFirstColumn="0" w:lastRowLastColumn="0"/>
            <w:tcW w:w="1419" w:type="dxa"/>
            <w:vAlign w:val="center"/>
          </w:tcPr>
          <w:p w14:paraId="7218B85D" w14:textId="7A3ECE25" w:rsidR="006E2E37" w:rsidRDefault="004B5552" w:rsidP="00D76441">
            <w:pPr>
              <w:jc w:val="center"/>
              <w:rPr>
                <w:kern w:val="0"/>
                <w:sz w:val="18"/>
                <w:szCs w:val="18"/>
              </w:rPr>
            </w:pPr>
            <w:r w:rsidRPr="004B5552">
              <w:rPr>
                <w:b w:val="0"/>
                <w:bCs w:val="0"/>
                <w:kern w:val="0"/>
                <w:sz w:val="18"/>
                <w:szCs w:val="18"/>
              </w:rPr>
              <w:t>IPP_l</w:t>
            </w:r>
            <w:r>
              <w:rPr>
                <w:b w:val="0"/>
                <w:bCs w:val="0"/>
                <w:kern w:val="0"/>
                <w:sz w:val="18"/>
                <w:szCs w:val="18"/>
              </w:rPr>
              <w:t>on</w:t>
            </w:r>
          </w:p>
        </w:tc>
        <w:tc>
          <w:tcPr>
            <w:tcW w:w="4251" w:type="dxa"/>
            <w:vAlign w:val="center"/>
          </w:tcPr>
          <w:p w14:paraId="3965B10F"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kern w:val="0"/>
                <w:sz w:val="18"/>
                <w:szCs w:val="18"/>
              </w:rPr>
            </w:pPr>
            <w:r>
              <w:rPr>
                <w:kern w:val="0"/>
                <w:sz w:val="18"/>
                <w:szCs w:val="18"/>
              </w:rPr>
              <w:t xml:space="preserve">Longitude of the </w:t>
            </w:r>
            <w:r>
              <w:rPr>
                <w:rFonts w:hint="eastAsia"/>
                <w:kern w:val="0"/>
                <w:sz w:val="18"/>
                <w:szCs w:val="18"/>
              </w:rPr>
              <w:t>IPP</w:t>
            </w:r>
            <w:r>
              <w:rPr>
                <w:kern w:val="0"/>
                <w:sz w:val="18"/>
                <w:szCs w:val="18"/>
              </w:rPr>
              <w:t xml:space="preserve"> on the ionospheric shell at 400 km</w:t>
            </w:r>
          </w:p>
        </w:tc>
        <w:tc>
          <w:tcPr>
            <w:tcW w:w="1251" w:type="dxa"/>
            <w:vAlign w:val="center"/>
          </w:tcPr>
          <w:p w14:paraId="0D466E3C"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rFonts w:eastAsia="等线"/>
                <w:kern w:val="0"/>
                <w:sz w:val="18"/>
                <w:szCs w:val="18"/>
              </w:rPr>
            </w:pPr>
            <w:r>
              <w:rPr>
                <w:rFonts w:eastAsia="等线"/>
                <w:kern w:val="0"/>
                <w:sz w:val="18"/>
                <w:szCs w:val="18"/>
              </w:rPr>
              <w:t>degree</w:t>
            </w:r>
          </w:p>
        </w:tc>
      </w:tr>
      <w:tr w:rsidR="006E2E37" w14:paraId="254AB399" w14:textId="77777777" w:rsidTr="006E2E37">
        <w:trPr>
          <w:trHeight w:val="397"/>
          <w:jc w:val="center"/>
        </w:trPr>
        <w:tc>
          <w:tcPr>
            <w:cnfStyle w:val="001000000000" w:firstRow="0" w:lastRow="0" w:firstColumn="1" w:lastColumn="0" w:oddVBand="0" w:evenVBand="0" w:oddHBand="0" w:evenHBand="0" w:firstRowFirstColumn="0" w:firstRowLastColumn="0" w:lastRowFirstColumn="0" w:lastRowLastColumn="0"/>
            <w:tcW w:w="1419" w:type="dxa"/>
            <w:vAlign w:val="center"/>
          </w:tcPr>
          <w:p w14:paraId="27FD5763" w14:textId="16DBD778" w:rsidR="006E2E37" w:rsidRDefault="004B5552" w:rsidP="00D76441">
            <w:pPr>
              <w:jc w:val="center"/>
              <w:rPr>
                <w:b w:val="0"/>
                <w:bCs w:val="0"/>
                <w:kern w:val="0"/>
                <w:sz w:val="18"/>
                <w:szCs w:val="18"/>
              </w:rPr>
            </w:pPr>
            <w:r w:rsidRPr="004B5552">
              <w:rPr>
                <w:b w:val="0"/>
                <w:bCs w:val="0"/>
                <w:kern w:val="0"/>
                <w:sz w:val="18"/>
                <w:szCs w:val="18"/>
              </w:rPr>
              <w:t>LOS_id</w:t>
            </w:r>
          </w:p>
        </w:tc>
        <w:tc>
          <w:tcPr>
            <w:tcW w:w="4251" w:type="dxa"/>
            <w:vAlign w:val="center"/>
          </w:tcPr>
          <w:p w14:paraId="3D0E408A"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kern w:val="0"/>
                <w:sz w:val="18"/>
                <w:szCs w:val="18"/>
              </w:rPr>
            </w:pPr>
            <w:r>
              <w:rPr>
                <w:kern w:val="0"/>
                <w:sz w:val="18"/>
                <w:szCs w:val="18"/>
              </w:rPr>
              <w:t>Identifier of the receiver-satellite</w:t>
            </w:r>
            <w:r>
              <w:rPr>
                <w:rFonts w:hint="eastAsia"/>
                <w:kern w:val="0"/>
                <w:sz w:val="18"/>
                <w:szCs w:val="18"/>
              </w:rPr>
              <w:t xml:space="preserve"> LOS</w:t>
            </w:r>
          </w:p>
        </w:tc>
        <w:tc>
          <w:tcPr>
            <w:tcW w:w="1251" w:type="dxa"/>
            <w:vAlign w:val="center"/>
          </w:tcPr>
          <w:p w14:paraId="66CEC439" w14:textId="77777777" w:rsidR="006E2E37" w:rsidRDefault="008B4B8A" w:rsidP="00D76441">
            <w:pPr>
              <w:jc w:val="center"/>
              <w:cnfStyle w:val="000000000000" w:firstRow="0" w:lastRow="0" w:firstColumn="0" w:lastColumn="0" w:oddVBand="0" w:evenVBand="0" w:oddHBand="0" w:evenHBand="0" w:firstRowFirstColumn="0" w:firstRowLastColumn="0" w:lastRowFirstColumn="0" w:lastRowLastColumn="0"/>
              <w:rPr>
                <w:rFonts w:eastAsia="等线"/>
                <w:kern w:val="0"/>
                <w:sz w:val="18"/>
                <w:szCs w:val="18"/>
              </w:rPr>
            </w:pPr>
            <w:r>
              <w:rPr>
                <w:rFonts w:eastAsia="等线" w:hint="eastAsia"/>
                <w:kern w:val="0"/>
                <w:sz w:val="18"/>
                <w:szCs w:val="18"/>
              </w:rPr>
              <w:t>–</w:t>
            </w:r>
          </w:p>
        </w:tc>
      </w:tr>
    </w:tbl>
    <w:p w14:paraId="3DD8B5D8" w14:textId="77777777" w:rsidR="006E2E37" w:rsidRDefault="006E2E37" w:rsidP="00D76441">
      <w:pPr>
        <w:rPr>
          <w:rFonts w:ascii="Times New Roman" w:eastAsia="黑体" w:hAnsi="Times New Roman" w:cs="Times New Roman"/>
          <w:sz w:val="20"/>
          <w:szCs w:val="20"/>
        </w:rPr>
      </w:pPr>
    </w:p>
    <w:p w14:paraId="3EA21C97" w14:textId="7495FED6" w:rsidR="006E2E37" w:rsidRPr="00697B5D" w:rsidRDefault="008B4B8A" w:rsidP="00D76441">
      <w:pPr>
        <w:pStyle w:val="1"/>
        <w:spacing w:before="120" w:after="120" w:line="240" w:lineRule="auto"/>
        <w:rPr>
          <w:rFonts w:ascii="Times New Roman" w:eastAsia="宋体" w:hAnsi="Times New Roman" w:cs="Times New Roman"/>
          <w:sz w:val="24"/>
          <w:szCs w:val="24"/>
        </w:rPr>
      </w:pPr>
      <w:r>
        <w:rPr>
          <w:rFonts w:ascii="Times New Roman" w:eastAsia="宋体" w:hAnsi="Times New Roman" w:cs="Times New Roman"/>
          <w:sz w:val="24"/>
          <w:szCs w:val="24"/>
        </w:rPr>
        <w:t>5. Level-2 product description</w:t>
      </w:r>
    </w:p>
    <w:p w14:paraId="266EB10A" w14:textId="09853E7C" w:rsidR="00BF7FE9" w:rsidRPr="002B7E04" w:rsidRDefault="00BF7FE9" w:rsidP="00D76441">
      <w:pPr>
        <w:rPr>
          <w:b/>
          <w:bCs/>
          <w:sz w:val="20"/>
          <w:szCs w:val="20"/>
          <w:vertAlign w:val="subscript"/>
        </w:rPr>
      </w:pPr>
      <w:r w:rsidRPr="002B7E04">
        <w:rPr>
          <w:rFonts w:ascii="Times New Roman" w:eastAsia="宋体" w:hAnsi="Times New Roman" w:cs="Times New Roman"/>
          <w:sz w:val="20"/>
          <w:szCs w:val="20"/>
        </w:rPr>
        <w:t xml:space="preserve">The Level-2 products are released as gridded </w:t>
      </w:r>
      <w:r w:rsidRPr="002B7E04">
        <w:rPr>
          <w:rFonts w:ascii="Times New Roman" w:eastAsia="宋体" w:hAnsi="Times New Roman" w:cs="Times New Roman" w:hint="eastAsia"/>
          <w:sz w:val="20"/>
          <w:szCs w:val="20"/>
        </w:rPr>
        <w:t>regional ionospheric products</w:t>
      </w:r>
      <w:r w:rsidRPr="002B7E04">
        <w:rPr>
          <w:rFonts w:ascii="Times New Roman" w:eastAsia="宋体" w:hAnsi="Times New Roman" w:cs="Times New Roman"/>
          <w:sz w:val="20"/>
          <w:szCs w:val="20"/>
        </w:rPr>
        <w:t xml:space="preserve">. The IPP-based variables, including VTEC, ROTI, and the temporal derivative </w:t>
      </w:r>
      <w:r w:rsidR="002B7E04" w:rsidRPr="002B7E04">
        <w:rPr>
          <w:rFonts w:ascii="Times New Roman" w:eastAsia="宋体" w:hAnsi="Times New Roman" w:cs="Times New Roman"/>
          <w:sz w:val="20"/>
          <w:szCs w:val="20"/>
        </w:rPr>
        <w:t>VTEC</w:t>
      </w:r>
      <w:r w:rsidR="002B7E04" w:rsidRPr="002B7E04">
        <w:rPr>
          <w:rFonts w:ascii="Times New Roman" w:eastAsia="宋体" w:hAnsi="Times New Roman" w:cs="Times New Roman"/>
          <w:sz w:val="20"/>
          <w:szCs w:val="20"/>
          <w:vertAlign w:val="subscript"/>
        </w:rPr>
        <w:t>t</w:t>
      </w:r>
      <w:r w:rsidRPr="002B7E04">
        <w:rPr>
          <w:rFonts w:ascii="Times New Roman" w:eastAsia="宋体" w:hAnsi="Times New Roman" w:cs="Times New Roman" w:hint="eastAsia"/>
          <w:sz w:val="20"/>
          <w:szCs w:val="20"/>
        </w:rPr>
        <w:t>,</w:t>
      </w:r>
      <w:r w:rsidRPr="002B7E04">
        <w:rPr>
          <w:rFonts w:ascii="Times New Roman" w:eastAsia="宋体" w:hAnsi="Times New Roman" w:cs="Times New Roman"/>
          <w:sz w:val="20"/>
          <w:szCs w:val="20"/>
        </w:rPr>
        <w:t xml:space="preserve"> are mapped onto a 1° × 1° grid. The inter-IPP-based variables, including GIX, GIX</w:t>
      </w:r>
      <w:r w:rsidRPr="002B7E04">
        <w:rPr>
          <w:rFonts w:ascii="Times New Roman" w:eastAsia="宋体" w:hAnsi="Times New Roman" w:cs="Times New Roman"/>
          <w:sz w:val="20"/>
          <w:szCs w:val="20"/>
          <w:vertAlign w:val="subscript"/>
        </w:rPr>
        <w:t>x</w:t>
      </w:r>
      <w:r w:rsidRPr="002B7E04">
        <w:rPr>
          <w:rFonts w:ascii="Times New Roman" w:eastAsia="宋体" w:hAnsi="Times New Roman" w:cs="Times New Roman"/>
          <w:sz w:val="20"/>
          <w:szCs w:val="20"/>
        </w:rPr>
        <w:t>, GIX</w:t>
      </w:r>
      <w:r w:rsidRPr="002B7E04">
        <w:rPr>
          <w:rFonts w:ascii="Times New Roman" w:eastAsia="宋体" w:hAnsi="Times New Roman" w:cs="Times New Roman"/>
          <w:sz w:val="20"/>
          <w:szCs w:val="20"/>
          <w:vertAlign w:val="subscript"/>
        </w:rPr>
        <w:t>y</w:t>
      </w:r>
      <w:r w:rsidRPr="002B7E04">
        <w:rPr>
          <w:rFonts w:ascii="Times New Roman" w:eastAsia="宋体" w:hAnsi="Times New Roman" w:cs="Times New Roman"/>
          <w:sz w:val="20"/>
          <w:szCs w:val="20"/>
        </w:rPr>
        <w:t>, GIX</w:t>
      </w:r>
      <w:r w:rsidRPr="002B7E04">
        <w:rPr>
          <w:rFonts w:ascii="Times New Roman" w:eastAsia="宋体" w:hAnsi="Times New Roman" w:cs="Times New Roman"/>
          <w:sz w:val="20"/>
          <w:szCs w:val="20"/>
          <w:vertAlign w:val="subscript"/>
        </w:rPr>
        <w:t>t,x</w:t>
      </w:r>
      <w:r w:rsidRPr="002B7E04">
        <w:rPr>
          <w:rFonts w:ascii="Times New Roman" w:eastAsia="宋体" w:hAnsi="Times New Roman" w:cs="Times New Roman"/>
          <w:sz w:val="20"/>
          <w:szCs w:val="20"/>
        </w:rPr>
        <w:t>, and GIX</w:t>
      </w:r>
      <w:r w:rsidRPr="002B7E04">
        <w:rPr>
          <w:rFonts w:ascii="Times New Roman" w:eastAsia="宋体" w:hAnsi="Times New Roman" w:cs="Times New Roman"/>
          <w:sz w:val="20"/>
          <w:szCs w:val="20"/>
          <w:vertAlign w:val="subscript"/>
        </w:rPr>
        <w:t>t,y</w:t>
      </w:r>
      <w:r w:rsidRPr="002B7E04">
        <w:rPr>
          <w:rFonts w:ascii="Times New Roman" w:eastAsia="宋体" w:hAnsi="Times New Roman" w:cs="Times New Roman"/>
          <w:sz w:val="20"/>
          <w:szCs w:val="20"/>
        </w:rPr>
        <w:t>, are mapped onto a 0.25° × 0.25° grid. The value in each grid cell is calculated as the arithmetic mean of all valid samples within that cell.</w:t>
      </w:r>
    </w:p>
    <w:p w14:paraId="7161431D" w14:textId="7EEBFB1E" w:rsidR="00BF7FE9" w:rsidRDefault="00BF7FE9" w:rsidP="00D76441">
      <w:pPr>
        <w:spacing w:afterLines="50" w:after="156"/>
        <w:ind w:firstLineChars="200" w:firstLine="400"/>
        <w:rPr>
          <w:rFonts w:ascii="Times New Roman" w:hAnsi="Times New Roman" w:cs="Times New Roman"/>
          <w:sz w:val="20"/>
          <w:szCs w:val="20"/>
        </w:rPr>
      </w:pPr>
      <w:r>
        <w:rPr>
          <w:rFonts w:ascii="Times New Roman" w:hAnsi="Times New Roman" w:cs="Times New Roman"/>
          <w:sz w:val="20"/>
          <w:szCs w:val="20"/>
        </w:rPr>
        <w:t>All Level-2 products have a temporal resolution of 15 min. The released Level-2 dataset includes the following variables: VTEC, VTEC</w:t>
      </w:r>
      <w:r>
        <w:rPr>
          <w:rFonts w:ascii="Times New Roman" w:hAnsi="Times New Roman" w:cs="Times New Roman"/>
          <w:sz w:val="20"/>
          <w:szCs w:val="20"/>
          <w:vertAlign w:val="subscript"/>
        </w:rPr>
        <w:t>t</w:t>
      </w:r>
      <w:r>
        <w:rPr>
          <w:rFonts w:ascii="Times New Roman" w:hAnsi="Times New Roman" w:cs="Times New Roman"/>
          <w:sz w:val="20"/>
          <w:szCs w:val="20"/>
        </w:rPr>
        <w:t xml:space="preserve">, ROTI, GIX, </w:t>
      </w:r>
      <w:r>
        <w:rPr>
          <w:rFonts w:ascii="Times New Roman" w:hAnsi="Times New Roman" w:cs="Times New Roman" w:hint="eastAsia"/>
          <w:sz w:val="20"/>
          <w:szCs w:val="20"/>
        </w:rPr>
        <w:t>GIX</w:t>
      </w:r>
      <w:r>
        <w:rPr>
          <w:rFonts w:ascii="Times New Roman" w:hAnsi="Times New Roman" w:cs="Times New Roman"/>
          <w:sz w:val="20"/>
          <w:szCs w:val="20"/>
          <w:vertAlign w:val="subscript"/>
        </w:rPr>
        <w:t>std</w:t>
      </w:r>
      <w:r>
        <w:rPr>
          <w:rFonts w:ascii="Times New Roman" w:hAnsi="Times New Roman" w:cs="Times New Roman"/>
          <w:sz w:val="20"/>
          <w:szCs w:val="20"/>
        </w:rPr>
        <w:t xml:space="preserve">, </w:t>
      </w:r>
      <w:r>
        <w:rPr>
          <w:rFonts w:ascii="Times New Roman" w:eastAsia="宋体" w:hAnsi="Times New Roman" w:cs="Times New Roman"/>
          <w:sz w:val="20"/>
          <w:szCs w:val="20"/>
        </w:rPr>
        <w:t>GIX</w:t>
      </w:r>
      <w:r>
        <w:rPr>
          <w:rFonts w:ascii="Times New Roman" w:eastAsia="宋体" w:hAnsi="Times New Roman" w:cs="Times New Roman"/>
          <w:sz w:val="20"/>
          <w:szCs w:val="20"/>
          <w:vertAlign w:val="subscript"/>
        </w:rPr>
        <w:t>x</w:t>
      </w:r>
      <w:r>
        <w:rPr>
          <w:rFonts w:ascii="Times New Roman" w:eastAsia="宋体" w:hAnsi="Times New Roman" w:cs="Times New Roman"/>
          <w:sz w:val="20"/>
          <w:szCs w:val="20"/>
        </w:rPr>
        <w:t>, GIX</w:t>
      </w:r>
      <w:r>
        <w:rPr>
          <w:rFonts w:ascii="Times New Roman" w:eastAsia="宋体" w:hAnsi="Times New Roman" w:cs="Times New Roman"/>
          <w:sz w:val="20"/>
          <w:szCs w:val="20"/>
          <w:vertAlign w:val="subscript"/>
        </w:rPr>
        <w:t>y</w:t>
      </w:r>
      <w:r>
        <w:rPr>
          <w:rFonts w:ascii="Times New Roman" w:eastAsia="宋体" w:hAnsi="Times New Roman" w:cs="Times New Roman"/>
          <w:sz w:val="20"/>
          <w:szCs w:val="20"/>
        </w:rPr>
        <w:t>, GIX</w:t>
      </w:r>
      <w:r>
        <w:rPr>
          <w:rFonts w:ascii="Times New Roman" w:eastAsia="宋体" w:hAnsi="Times New Roman" w:cs="Times New Roman"/>
          <w:sz w:val="20"/>
          <w:szCs w:val="20"/>
          <w:vertAlign w:val="subscript"/>
        </w:rPr>
        <w:t>t,x</w:t>
      </w:r>
      <w:r>
        <w:rPr>
          <w:rFonts w:ascii="Times New Roman" w:eastAsia="宋体" w:hAnsi="Times New Roman" w:cs="Times New Roman"/>
          <w:sz w:val="20"/>
          <w:szCs w:val="20"/>
        </w:rPr>
        <w:t>, and GIX</w:t>
      </w:r>
      <w:r>
        <w:rPr>
          <w:rFonts w:ascii="Times New Roman" w:eastAsia="宋体" w:hAnsi="Times New Roman" w:cs="Times New Roman"/>
          <w:sz w:val="20"/>
          <w:szCs w:val="20"/>
          <w:vertAlign w:val="subscript"/>
        </w:rPr>
        <w:t>t,y</w:t>
      </w:r>
      <w:r>
        <w:rPr>
          <w:rFonts w:ascii="Times New Roman" w:eastAsia="宋体" w:hAnsi="Times New Roman" w:cs="Times New Roman"/>
          <w:sz w:val="20"/>
          <w:szCs w:val="20"/>
        </w:rPr>
        <w:t>. Their spatial resolutions</w:t>
      </w:r>
      <w:r w:rsidR="00A665AA">
        <w:rPr>
          <w:rFonts w:ascii="Times New Roman" w:eastAsia="宋体" w:hAnsi="Times New Roman" w:cs="Times New Roman"/>
          <w:sz w:val="20"/>
          <w:szCs w:val="20"/>
        </w:rPr>
        <w:t xml:space="preserve"> </w:t>
      </w:r>
      <w:r w:rsidR="00A665AA">
        <w:rPr>
          <w:rFonts w:ascii="Times New Roman" w:eastAsia="宋体" w:hAnsi="Times New Roman" w:cs="Times New Roman" w:hint="eastAsia"/>
          <w:sz w:val="20"/>
          <w:szCs w:val="20"/>
        </w:rPr>
        <w:t>and</w:t>
      </w:r>
      <w:r w:rsidR="00A665AA">
        <w:rPr>
          <w:rFonts w:ascii="Times New Roman" w:eastAsia="宋体" w:hAnsi="Times New Roman" w:cs="Times New Roman"/>
          <w:sz w:val="20"/>
          <w:szCs w:val="20"/>
        </w:rPr>
        <w:t xml:space="preserve"> </w:t>
      </w:r>
      <w:r>
        <w:rPr>
          <w:rFonts w:ascii="Times New Roman" w:eastAsia="宋体" w:hAnsi="Times New Roman" w:cs="Times New Roman"/>
          <w:sz w:val="20"/>
          <w:szCs w:val="20"/>
        </w:rPr>
        <w:t>units</w:t>
      </w:r>
      <w:r>
        <w:rPr>
          <w:rFonts w:ascii="Times New Roman" w:eastAsia="宋体" w:hAnsi="Times New Roman" w:cs="Times New Roman" w:hint="eastAsia"/>
          <w:sz w:val="20"/>
          <w:szCs w:val="20"/>
        </w:rPr>
        <w:t xml:space="preserve"> are summarized</w:t>
      </w:r>
      <w:r>
        <w:rPr>
          <w:rFonts w:ascii="Times New Roman" w:eastAsia="宋体" w:hAnsi="Times New Roman" w:cs="Times New Roman"/>
          <w:sz w:val="20"/>
          <w:szCs w:val="20"/>
        </w:rPr>
        <w:t xml:space="preserve"> in </w:t>
      </w:r>
      <w:r>
        <w:rPr>
          <w:rFonts w:ascii="Times New Roman" w:eastAsia="宋体" w:hAnsi="Times New Roman" w:cs="Times New Roman"/>
          <w:color w:val="0070C0"/>
          <w:sz w:val="20"/>
          <w:szCs w:val="20"/>
        </w:rPr>
        <w:t xml:space="preserve">Table </w:t>
      </w:r>
      <w:r w:rsidR="00FE11FD">
        <w:rPr>
          <w:rFonts w:ascii="Times New Roman" w:eastAsia="宋体" w:hAnsi="Times New Roman" w:cs="Times New Roman"/>
          <w:color w:val="0070C0"/>
          <w:sz w:val="20"/>
          <w:szCs w:val="20"/>
        </w:rPr>
        <w:t>2</w:t>
      </w:r>
      <w:r>
        <w:rPr>
          <w:rFonts w:ascii="Times New Roman" w:eastAsia="宋体" w:hAnsi="Times New Roman" w:cs="Times New Roman"/>
          <w:sz w:val="20"/>
          <w:szCs w:val="20"/>
        </w:rPr>
        <w:t>.</w:t>
      </w:r>
      <w:r w:rsidR="006546D5">
        <w:rPr>
          <w:rFonts w:ascii="Times New Roman" w:eastAsia="宋体" w:hAnsi="Times New Roman" w:cs="Times New Roman"/>
          <w:sz w:val="20"/>
          <w:szCs w:val="20"/>
        </w:rPr>
        <w:t xml:space="preserve"> </w:t>
      </w:r>
      <w:r w:rsidR="006546D5" w:rsidRPr="001D392A">
        <w:rPr>
          <w:rFonts w:ascii="Times New Roman" w:hAnsi="Times New Roman" w:cs="Times New Roman"/>
          <w:sz w:val="20"/>
          <w:szCs w:val="20"/>
        </w:rPr>
        <w:t>Positive GIX</w:t>
      </w:r>
      <w:r w:rsidR="006546D5" w:rsidRPr="00564B44">
        <w:rPr>
          <w:rFonts w:ascii="Times New Roman" w:hAnsi="Times New Roman" w:cs="Times New Roman"/>
          <w:sz w:val="20"/>
          <w:szCs w:val="20"/>
          <w:vertAlign w:val="subscript"/>
        </w:rPr>
        <w:t>x</w:t>
      </w:r>
      <w:r w:rsidR="006546D5" w:rsidRPr="001D392A">
        <w:rPr>
          <w:rFonts w:ascii="Times New Roman" w:hAnsi="Times New Roman" w:cs="Times New Roman"/>
          <w:sz w:val="20"/>
          <w:szCs w:val="20"/>
        </w:rPr>
        <w:t xml:space="preserve"> and GIX</w:t>
      </w:r>
      <w:r w:rsidR="006546D5" w:rsidRPr="00564B44">
        <w:rPr>
          <w:rFonts w:ascii="Times New Roman" w:hAnsi="Times New Roman" w:cs="Times New Roman"/>
          <w:sz w:val="20"/>
          <w:szCs w:val="20"/>
          <w:vertAlign w:val="subscript"/>
        </w:rPr>
        <w:t>y</w:t>
      </w:r>
      <w:r w:rsidR="006546D5" w:rsidRPr="001D392A">
        <w:rPr>
          <w:rFonts w:ascii="Times New Roman" w:hAnsi="Times New Roman" w:cs="Times New Roman"/>
          <w:sz w:val="20"/>
          <w:szCs w:val="20"/>
        </w:rPr>
        <w:t xml:space="preserve"> denote eastward and northward TEC-gradient components, respectively.</w:t>
      </w:r>
    </w:p>
    <w:p w14:paraId="1F2013D3" w14:textId="2CA55680" w:rsidR="00BC3464" w:rsidRDefault="00BC3464" w:rsidP="00D76441">
      <w:pPr>
        <w:spacing w:afterLines="50" w:after="156"/>
        <w:ind w:firstLineChars="200" w:firstLine="400"/>
        <w:rPr>
          <w:rFonts w:ascii="Times New Roman" w:hAnsi="Times New Roman" w:cs="Times New Roman"/>
          <w:sz w:val="20"/>
          <w:szCs w:val="20"/>
        </w:rPr>
      </w:pPr>
    </w:p>
    <w:p w14:paraId="1A4A87F5" w14:textId="6BF113ED" w:rsidR="00BC3464" w:rsidRDefault="00BC3464" w:rsidP="00D76441">
      <w:pPr>
        <w:spacing w:afterLines="50" w:after="156"/>
        <w:rPr>
          <w:rFonts w:ascii="Times New Roman" w:hAnsi="Times New Roman" w:cs="Times New Roman"/>
          <w:sz w:val="20"/>
          <w:szCs w:val="20"/>
        </w:rPr>
      </w:pPr>
    </w:p>
    <w:p w14:paraId="3B58B3B6" w14:textId="706C88E6" w:rsidR="00BF7FE9" w:rsidRDefault="00BF7FE9" w:rsidP="00D76441">
      <w:pPr>
        <w:pStyle w:val="a8"/>
        <w:spacing w:afterLines="30" w:after="93"/>
        <w:ind w:firstLineChars="0" w:firstLine="0"/>
        <w:jc w:val="center"/>
        <w:textAlignment w:val="center"/>
        <w:rPr>
          <w:rFonts w:ascii="Times New Roman" w:hAnsi="Times New Roman"/>
          <w:b/>
          <w:bCs/>
          <w:color w:val="0070C0"/>
          <w:sz w:val="20"/>
          <w:szCs w:val="20"/>
        </w:rPr>
      </w:pPr>
      <w:r>
        <w:rPr>
          <w:rFonts w:ascii="Times New Roman" w:hAnsi="Times New Roman" w:hint="eastAsia"/>
          <w:b/>
          <w:bCs/>
          <w:color w:val="0070C0"/>
          <w:sz w:val="20"/>
          <w:szCs w:val="20"/>
        </w:rPr>
        <w:t>T</w:t>
      </w:r>
      <w:r>
        <w:rPr>
          <w:rFonts w:ascii="Times New Roman" w:hAnsi="Times New Roman"/>
          <w:b/>
          <w:bCs/>
          <w:color w:val="0070C0"/>
          <w:sz w:val="20"/>
          <w:szCs w:val="20"/>
        </w:rPr>
        <w:t xml:space="preserve">able </w:t>
      </w:r>
      <w:r w:rsidR="00FE11FD">
        <w:rPr>
          <w:rFonts w:ascii="Times New Roman" w:hAnsi="Times New Roman"/>
          <w:b/>
          <w:bCs/>
          <w:color w:val="0070C0"/>
          <w:sz w:val="20"/>
          <w:szCs w:val="20"/>
        </w:rPr>
        <w:t>2</w:t>
      </w:r>
      <w:r>
        <w:rPr>
          <w:rFonts w:ascii="Times New Roman" w:hAnsi="Times New Roman"/>
          <w:b/>
          <w:bCs/>
          <w:color w:val="0070C0"/>
          <w:sz w:val="20"/>
          <w:szCs w:val="20"/>
        </w:rPr>
        <w:t xml:space="preserve">. </w:t>
      </w:r>
      <w:r>
        <w:rPr>
          <w:rFonts w:ascii="Times New Roman" w:hAnsi="Times New Roman" w:hint="eastAsia"/>
          <w:color w:val="0070C0"/>
          <w:sz w:val="20"/>
          <w:szCs w:val="20"/>
        </w:rPr>
        <w:t>Level-2 variables released in the GIFT-BDS dataset</w:t>
      </w:r>
      <w:r>
        <w:rPr>
          <w:rFonts w:ascii="Times New Roman" w:hAnsi="Times New Roman"/>
          <w:color w:val="0070C0"/>
          <w:sz w:val="20"/>
          <w:szCs w:val="20"/>
        </w:rPr>
        <w:t>.</w:t>
      </w:r>
    </w:p>
    <w:tbl>
      <w:tblPr>
        <w:tblStyle w:val="21"/>
        <w:tblW w:w="0" w:type="auto"/>
        <w:jc w:val="center"/>
        <w:tblLook w:val="04A0" w:firstRow="1" w:lastRow="0" w:firstColumn="1" w:lastColumn="0" w:noHBand="0" w:noVBand="1"/>
      </w:tblPr>
      <w:tblGrid>
        <w:gridCol w:w="1181"/>
        <w:gridCol w:w="2585"/>
        <w:gridCol w:w="1598"/>
        <w:gridCol w:w="1866"/>
      </w:tblGrid>
      <w:tr w:rsidR="00236A88" w14:paraId="6AC289E3" w14:textId="77777777" w:rsidTr="00236A8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181" w:type="dxa"/>
            <w:tcBorders>
              <w:top w:val="single" w:sz="12" w:space="0" w:color="000000"/>
            </w:tcBorders>
            <w:vAlign w:val="center"/>
          </w:tcPr>
          <w:p w14:paraId="54F3107A" w14:textId="77777777" w:rsidR="00236A88" w:rsidRDefault="00236A88" w:rsidP="00D76441">
            <w:pPr>
              <w:jc w:val="center"/>
              <w:rPr>
                <w:color w:val="0070C0"/>
                <w:sz w:val="18"/>
                <w:szCs w:val="18"/>
              </w:rPr>
            </w:pPr>
            <w:r>
              <w:rPr>
                <w:color w:val="0070C0"/>
                <w:sz w:val="18"/>
                <w:szCs w:val="18"/>
              </w:rPr>
              <w:t>Variable</w:t>
            </w:r>
          </w:p>
        </w:tc>
        <w:tc>
          <w:tcPr>
            <w:tcW w:w="2585" w:type="dxa"/>
            <w:tcBorders>
              <w:top w:val="single" w:sz="12" w:space="0" w:color="000000"/>
            </w:tcBorders>
            <w:vAlign w:val="center"/>
          </w:tcPr>
          <w:p w14:paraId="0BCBFD7A" w14:textId="77777777" w:rsidR="00236A88" w:rsidRDefault="00236A88" w:rsidP="00D76441">
            <w:pPr>
              <w:jc w:val="center"/>
              <w:cnfStyle w:val="100000000000" w:firstRow="1" w:lastRow="0" w:firstColumn="0" w:lastColumn="0" w:oddVBand="0" w:evenVBand="0" w:oddHBand="0" w:evenHBand="0" w:firstRowFirstColumn="0" w:firstRowLastColumn="0" w:lastRowFirstColumn="0" w:lastRowLastColumn="0"/>
              <w:rPr>
                <w:color w:val="0070C0"/>
                <w:sz w:val="18"/>
                <w:szCs w:val="18"/>
              </w:rPr>
            </w:pPr>
            <w:r>
              <w:rPr>
                <w:color w:val="0070C0"/>
                <w:sz w:val="18"/>
                <w:szCs w:val="18"/>
              </w:rPr>
              <w:t>Description</w:t>
            </w:r>
          </w:p>
        </w:tc>
        <w:tc>
          <w:tcPr>
            <w:tcW w:w="1598" w:type="dxa"/>
            <w:tcBorders>
              <w:top w:val="single" w:sz="12" w:space="0" w:color="000000"/>
            </w:tcBorders>
            <w:vAlign w:val="center"/>
          </w:tcPr>
          <w:p w14:paraId="2BC7ED0A" w14:textId="77777777" w:rsidR="00236A88" w:rsidRDefault="00236A88" w:rsidP="00D76441">
            <w:pPr>
              <w:jc w:val="center"/>
              <w:cnfStyle w:val="100000000000" w:firstRow="1" w:lastRow="0" w:firstColumn="0" w:lastColumn="0" w:oddVBand="0" w:evenVBand="0" w:oddHBand="0" w:evenHBand="0" w:firstRowFirstColumn="0" w:firstRowLastColumn="0" w:lastRowFirstColumn="0" w:lastRowLastColumn="0"/>
              <w:rPr>
                <w:color w:val="0070C0"/>
                <w:sz w:val="18"/>
                <w:szCs w:val="18"/>
              </w:rPr>
            </w:pPr>
            <w:r>
              <w:rPr>
                <w:rFonts w:hint="eastAsia"/>
                <w:color w:val="0070C0"/>
                <w:sz w:val="18"/>
                <w:szCs w:val="18"/>
              </w:rPr>
              <w:t>Grid spacing</w:t>
            </w:r>
          </w:p>
        </w:tc>
        <w:tc>
          <w:tcPr>
            <w:tcW w:w="1866" w:type="dxa"/>
            <w:tcBorders>
              <w:top w:val="single" w:sz="12" w:space="0" w:color="000000"/>
            </w:tcBorders>
            <w:vAlign w:val="center"/>
          </w:tcPr>
          <w:p w14:paraId="2FDD698F" w14:textId="77777777" w:rsidR="00236A88" w:rsidRDefault="00236A88" w:rsidP="00D76441">
            <w:pPr>
              <w:jc w:val="center"/>
              <w:cnfStyle w:val="100000000000" w:firstRow="1" w:lastRow="0" w:firstColumn="0" w:lastColumn="0" w:oddVBand="0" w:evenVBand="0" w:oddHBand="0" w:evenHBand="0" w:firstRowFirstColumn="0" w:firstRowLastColumn="0" w:lastRowFirstColumn="0" w:lastRowLastColumn="0"/>
              <w:rPr>
                <w:color w:val="0070C0"/>
                <w:sz w:val="18"/>
                <w:szCs w:val="18"/>
              </w:rPr>
            </w:pPr>
            <w:r>
              <w:rPr>
                <w:color w:val="0070C0"/>
                <w:sz w:val="18"/>
                <w:szCs w:val="18"/>
              </w:rPr>
              <w:t>Unit</w:t>
            </w:r>
          </w:p>
        </w:tc>
      </w:tr>
      <w:tr w:rsidR="00236A88" w14:paraId="00C808A9" w14:textId="77777777" w:rsidTr="00236A88">
        <w:trPr>
          <w:trHeight w:val="397"/>
          <w:jc w:val="center"/>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430B7D6" w14:textId="77777777" w:rsidR="00236A88" w:rsidRDefault="00236A88" w:rsidP="00D76441">
            <w:pPr>
              <w:jc w:val="center"/>
              <w:rPr>
                <w:b w:val="0"/>
                <w:bCs w:val="0"/>
                <w:sz w:val="18"/>
                <w:szCs w:val="18"/>
              </w:rPr>
            </w:pPr>
            <w:r>
              <w:rPr>
                <w:b w:val="0"/>
                <w:bCs w:val="0"/>
                <w:sz w:val="18"/>
                <w:szCs w:val="18"/>
              </w:rPr>
              <w:t>VTEC</w:t>
            </w:r>
          </w:p>
        </w:tc>
        <w:tc>
          <w:tcPr>
            <w:tcW w:w="2585" w:type="dxa"/>
            <w:vAlign w:val="center"/>
          </w:tcPr>
          <w:p w14:paraId="1C095593"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Vertical total electron content</w:t>
            </w:r>
          </w:p>
        </w:tc>
        <w:tc>
          <w:tcPr>
            <w:tcW w:w="1598" w:type="dxa"/>
            <w:vAlign w:val="center"/>
          </w:tcPr>
          <w:p w14:paraId="2D24B129"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Pr>
                <w:sz w:val="18"/>
                <w:szCs w:val="18"/>
              </w:rPr>
              <w:t>1° × 1°</w:t>
            </w:r>
          </w:p>
        </w:tc>
        <w:tc>
          <w:tcPr>
            <w:tcW w:w="1866" w:type="dxa"/>
            <w:vAlign w:val="center"/>
          </w:tcPr>
          <w:p w14:paraId="73AD33AE"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Pr>
                <w:rFonts w:eastAsia="等线"/>
                <w:sz w:val="18"/>
                <w:szCs w:val="18"/>
              </w:rPr>
              <w:t>TECU</w:t>
            </w:r>
          </w:p>
        </w:tc>
      </w:tr>
      <w:tr w:rsidR="00236A88" w14:paraId="700182E3" w14:textId="77777777" w:rsidTr="00236A88">
        <w:trPr>
          <w:trHeight w:val="397"/>
          <w:jc w:val="center"/>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500E50F" w14:textId="77777777" w:rsidR="00236A88" w:rsidRDefault="00236A88" w:rsidP="00D76441">
            <w:pPr>
              <w:jc w:val="center"/>
              <w:rPr>
                <w:b w:val="0"/>
                <w:bCs w:val="0"/>
                <w:sz w:val="18"/>
                <w:szCs w:val="18"/>
                <w:vertAlign w:val="subscript"/>
              </w:rPr>
            </w:pPr>
            <w:r>
              <w:rPr>
                <w:b w:val="0"/>
                <w:bCs w:val="0"/>
                <w:sz w:val="18"/>
                <w:szCs w:val="18"/>
              </w:rPr>
              <w:t>VTEC</w:t>
            </w:r>
            <w:r>
              <w:rPr>
                <w:b w:val="0"/>
                <w:bCs w:val="0"/>
                <w:sz w:val="18"/>
                <w:szCs w:val="18"/>
                <w:vertAlign w:val="subscript"/>
              </w:rPr>
              <w:t>t</w:t>
            </w:r>
          </w:p>
        </w:tc>
        <w:tc>
          <w:tcPr>
            <w:tcW w:w="2585" w:type="dxa"/>
            <w:vAlign w:val="center"/>
          </w:tcPr>
          <w:p w14:paraId="5E6023A0" w14:textId="77777777" w:rsidR="00236A88" w:rsidRPr="00116ED1"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sidRPr="00116ED1">
              <w:rPr>
                <w:sz w:val="18"/>
                <w:szCs w:val="18"/>
              </w:rPr>
              <w:t>Time derivative of VTEC</w:t>
            </w:r>
          </w:p>
        </w:tc>
        <w:tc>
          <w:tcPr>
            <w:tcW w:w="1598" w:type="dxa"/>
            <w:vAlign w:val="center"/>
          </w:tcPr>
          <w:p w14:paraId="294398CA"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Pr>
                <w:sz w:val="18"/>
                <w:szCs w:val="18"/>
              </w:rPr>
              <w:t>1° × 1°</w:t>
            </w:r>
          </w:p>
        </w:tc>
        <w:tc>
          <w:tcPr>
            <w:tcW w:w="1866" w:type="dxa"/>
            <w:vAlign w:val="center"/>
          </w:tcPr>
          <w:p w14:paraId="21494F82"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Pr>
                <w:rFonts w:eastAsia="等线"/>
                <w:sz w:val="18"/>
                <w:szCs w:val="18"/>
              </w:rPr>
              <w:t>TECU/min</w:t>
            </w:r>
          </w:p>
        </w:tc>
      </w:tr>
      <w:tr w:rsidR="00236A88" w14:paraId="33FC00A3" w14:textId="77777777" w:rsidTr="00236A88">
        <w:trPr>
          <w:trHeight w:val="397"/>
          <w:jc w:val="center"/>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50732D5" w14:textId="77777777" w:rsidR="00236A88" w:rsidRDefault="00236A88" w:rsidP="00D76441">
            <w:pPr>
              <w:jc w:val="center"/>
              <w:rPr>
                <w:b w:val="0"/>
                <w:bCs w:val="0"/>
                <w:sz w:val="18"/>
                <w:szCs w:val="18"/>
              </w:rPr>
            </w:pPr>
            <w:r>
              <w:rPr>
                <w:b w:val="0"/>
                <w:bCs w:val="0"/>
                <w:sz w:val="18"/>
                <w:szCs w:val="18"/>
              </w:rPr>
              <w:t>ROTI</w:t>
            </w:r>
          </w:p>
        </w:tc>
        <w:tc>
          <w:tcPr>
            <w:tcW w:w="2585" w:type="dxa"/>
            <w:vAlign w:val="center"/>
          </w:tcPr>
          <w:p w14:paraId="0035CC4E"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Rate of TEC index</w:t>
            </w:r>
          </w:p>
        </w:tc>
        <w:tc>
          <w:tcPr>
            <w:tcW w:w="1598" w:type="dxa"/>
            <w:vAlign w:val="center"/>
          </w:tcPr>
          <w:p w14:paraId="2AEB8548"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 × 1°</w:t>
            </w:r>
          </w:p>
        </w:tc>
        <w:tc>
          <w:tcPr>
            <w:tcW w:w="1866" w:type="dxa"/>
            <w:vAlign w:val="center"/>
          </w:tcPr>
          <w:p w14:paraId="2864F6CC"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Pr>
                <w:rFonts w:eastAsia="等线"/>
                <w:sz w:val="18"/>
                <w:szCs w:val="18"/>
              </w:rPr>
              <w:t>TECU/min</w:t>
            </w:r>
          </w:p>
        </w:tc>
      </w:tr>
      <w:tr w:rsidR="00236A88" w14:paraId="26611D20" w14:textId="77777777" w:rsidTr="00236A88">
        <w:trPr>
          <w:trHeight w:val="397"/>
          <w:jc w:val="center"/>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5B12C74" w14:textId="77777777" w:rsidR="00236A88" w:rsidRDefault="00236A88" w:rsidP="00D76441">
            <w:pPr>
              <w:jc w:val="center"/>
              <w:rPr>
                <w:b w:val="0"/>
                <w:bCs w:val="0"/>
                <w:sz w:val="18"/>
                <w:szCs w:val="18"/>
              </w:rPr>
            </w:pPr>
            <w:r>
              <w:rPr>
                <w:b w:val="0"/>
                <w:bCs w:val="0"/>
                <w:sz w:val="18"/>
                <w:szCs w:val="18"/>
              </w:rPr>
              <w:t>GIX</w:t>
            </w:r>
          </w:p>
        </w:tc>
        <w:tc>
          <w:tcPr>
            <w:tcW w:w="2585" w:type="dxa"/>
            <w:vAlign w:val="center"/>
          </w:tcPr>
          <w:p w14:paraId="590343AB"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Magnitude of horizontal TEC spatial gradient</w:t>
            </w:r>
          </w:p>
        </w:tc>
        <w:tc>
          <w:tcPr>
            <w:tcW w:w="1598" w:type="dxa"/>
            <w:vAlign w:val="center"/>
          </w:tcPr>
          <w:p w14:paraId="6D47D5AE"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0.25° × 0.25°</w:t>
            </w:r>
          </w:p>
        </w:tc>
        <w:tc>
          <w:tcPr>
            <w:tcW w:w="1866" w:type="dxa"/>
            <w:vAlign w:val="center"/>
          </w:tcPr>
          <w:p w14:paraId="77DD56E3"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Pr>
                <w:rFonts w:eastAsia="等线" w:hint="eastAsia"/>
                <w:sz w:val="18"/>
                <w:szCs w:val="18"/>
              </w:rPr>
              <w:t>1</w:t>
            </w:r>
            <w:r>
              <w:rPr>
                <w:rFonts w:eastAsia="等线"/>
                <w:sz w:val="18"/>
                <w:szCs w:val="18"/>
              </w:rPr>
              <w:t>0</w:t>
            </w:r>
            <w:r w:rsidRPr="00442520">
              <w:rPr>
                <w:rFonts w:eastAsia="等线"/>
                <w:sz w:val="18"/>
                <w:szCs w:val="18"/>
                <w:vertAlign w:val="superscript"/>
              </w:rPr>
              <w:t>-3</w:t>
            </w:r>
            <w:r>
              <w:rPr>
                <w:rFonts w:eastAsia="等线"/>
                <w:sz w:val="18"/>
                <w:szCs w:val="18"/>
              </w:rPr>
              <w:t xml:space="preserve"> TECU/km</w:t>
            </w:r>
          </w:p>
        </w:tc>
      </w:tr>
      <w:tr w:rsidR="00236A88" w14:paraId="7EF2C743" w14:textId="77777777" w:rsidTr="00236A88">
        <w:trPr>
          <w:trHeight w:val="397"/>
          <w:jc w:val="center"/>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76A72B8A" w14:textId="77777777" w:rsidR="00236A88" w:rsidRDefault="00236A88" w:rsidP="00D76441">
            <w:pPr>
              <w:jc w:val="center"/>
              <w:rPr>
                <w:b w:val="0"/>
                <w:bCs w:val="0"/>
                <w:sz w:val="18"/>
                <w:szCs w:val="18"/>
              </w:rPr>
            </w:pPr>
            <w:r>
              <w:rPr>
                <w:rFonts w:hint="eastAsia"/>
                <w:b w:val="0"/>
                <w:bCs w:val="0"/>
                <w:sz w:val="18"/>
                <w:szCs w:val="18"/>
              </w:rPr>
              <w:t>GIX</w:t>
            </w:r>
            <w:r>
              <w:rPr>
                <w:b w:val="0"/>
                <w:bCs w:val="0"/>
                <w:sz w:val="18"/>
                <w:szCs w:val="18"/>
                <w:vertAlign w:val="subscript"/>
              </w:rPr>
              <w:t>std</w:t>
            </w:r>
          </w:p>
        </w:tc>
        <w:tc>
          <w:tcPr>
            <w:tcW w:w="2585" w:type="dxa"/>
            <w:vAlign w:val="center"/>
          </w:tcPr>
          <w:p w14:paraId="063E4D74"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Standard deviation of GIX</w:t>
            </w:r>
          </w:p>
        </w:tc>
        <w:tc>
          <w:tcPr>
            <w:tcW w:w="1598" w:type="dxa"/>
            <w:vAlign w:val="center"/>
          </w:tcPr>
          <w:p w14:paraId="1F2DFDD6"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0.25° × 0.25°</w:t>
            </w:r>
          </w:p>
        </w:tc>
        <w:tc>
          <w:tcPr>
            <w:tcW w:w="1866" w:type="dxa"/>
            <w:vAlign w:val="center"/>
          </w:tcPr>
          <w:p w14:paraId="426FB20A"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Pr>
                <w:rFonts w:eastAsia="等线" w:hint="eastAsia"/>
                <w:sz w:val="18"/>
                <w:szCs w:val="18"/>
              </w:rPr>
              <w:t>1</w:t>
            </w:r>
            <w:r>
              <w:rPr>
                <w:rFonts w:eastAsia="等线"/>
                <w:sz w:val="18"/>
                <w:szCs w:val="18"/>
              </w:rPr>
              <w:t>0</w:t>
            </w:r>
            <w:r w:rsidRPr="00442520">
              <w:rPr>
                <w:rFonts w:eastAsia="等线"/>
                <w:sz w:val="18"/>
                <w:szCs w:val="18"/>
                <w:vertAlign w:val="superscript"/>
              </w:rPr>
              <w:t>-3</w:t>
            </w:r>
            <w:r>
              <w:rPr>
                <w:rFonts w:eastAsia="等线"/>
                <w:sz w:val="18"/>
                <w:szCs w:val="18"/>
              </w:rPr>
              <w:t xml:space="preserve"> TECU/km</w:t>
            </w:r>
          </w:p>
        </w:tc>
      </w:tr>
      <w:tr w:rsidR="00236A88" w14:paraId="2BE414A6" w14:textId="77777777" w:rsidTr="00236A88">
        <w:trPr>
          <w:trHeight w:val="397"/>
          <w:jc w:val="center"/>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2D35D09" w14:textId="77777777" w:rsidR="00236A88" w:rsidRDefault="00236A88" w:rsidP="00D76441">
            <w:pPr>
              <w:jc w:val="center"/>
              <w:rPr>
                <w:b w:val="0"/>
                <w:bCs w:val="0"/>
                <w:sz w:val="18"/>
                <w:szCs w:val="18"/>
              </w:rPr>
            </w:pPr>
            <w:r>
              <w:rPr>
                <w:b w:val="0"/>
                <w:bCs w:val="0"/>
                <w:sz w:val="18"/>
                <w:szCs w:val="18"/>
              </w:rPr>
              <w:t>GIX</w:t>
            </w:r>
            <w:r>
              <w:rPr>
                <w:b w:val="0"/>
                <w:bCs w:val="0"/>
                <w:sz w:val="18"/>
                <w:szCs w:val="18"/>
                <w:vertAlign w:val="subscript"/>
              </w:rPr>
              <w:t>x</w:t>
            </w:r>
          </w:p>
        </w:tc>
        <w:tc>
          <w:tcPr>
            <w:tcW w:w="2585" w:type="dxa"/>
            <w:vAlign w:val="center"/>
          </w:tcPr>
          <w:p w14:paraId="41A4FA4F" w14:textId="77777777" w:rsidR="00236A88" w:rsidRPr="00116ED1"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sidRPr="00116ED1">
              <w:rPr>
                <w:sz w:val="18"/>
                <w:szCs w:val="18"/>
              </w:rPr>
              <w:t>Zonal component of horizontal TEC spatial gradient</w:t>
            </w:r>
          </w:p>
        </w:tc>
        <w:tc>
          <w:tcPr>
            <w:tcW w:w="1598" w:type="dxa"/>
            <w:vAlign w:val="center"/>
          </w:tcPr>
          <w:p w14:paraId="712392F2"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0.25° × 0.25°</w:t>
            </w:r>
          </w:p>
        </w:tc>
        <w:tc>
          <w:tcPr>
            <w:tcW w:w="1866" w:type="dxa"/>
            <w:vAlign w:val="center"/>
          </w:tcPr>
          <w:p w14:paraId="7CC93D7B"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Pr>
                <w:rFonts w:eastAsia="等线" w:hint="eastAsia"/>
                <w:sz w:val="18"/>
                <w:szCs w:val="18"/>
              </w:rPr>
              <w:t>1</w:t>
            </w:r>
            <w:r>
              <w:rPr>
                <w:rFonts w:eastAsia="等线"/>
                <w:sz w:val="18"/>
                <w:szCs w:val="18"/>
              </w:rPr>
              <w:t>0</w:t>
            </w:r>
            <w:r w:rsidRPr="00442520">
              <w:rPr>
                <w:rFonts w:eastAsia="等线"/>
                <w:sz w:val="18"/>
                <w:szCs w:val="18"/>
                <w:vertAlign w:val="superscript"/>
              </w:rPr>
              <w:t>-3</w:t>
            </w:r>
            <w:r>
              <w:rPr>
                <w:rFonts w:eastAsia="等线"/>
                <w:sz w:val="18"/>
                <w:szCs w:val="18"/>
              </w:rPr>
              <w:t xml:space="preserve"> TECU/km</w:t>
            </w:r>
          </w:p>
        </w:tc>
      </w:tr>
      <w:tr w:rsidR="00236A88" w14:paraId="32915B41" w14:textId="77777777" w:rsidTr="00236A88">
        <w:trPr>
          <w:trHeight w:val="397"/>
          <w:jc w:val="center"/>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7F8EEEE" w14:textId="77777777" w:rsidR="00236A88" w:rsidRDefault="00236A88" w:rsidP="00D76441">
            <w:pPr>
              <w:jc w:val="center"/>
              <w:rPr>
                <w:b w:val="0"/>
                <w:bCs w:val="0"/>
                <w:sz w:val="18"/>
                <w:szCs w:val="18"/>
              </w:rPr>
            </w:pPr>
            <w:r>
              <w:rPr>
                <w:b w:val="0"/>
                <w:bCs w:val="0"/>
                <w:sz w:val="18"/>
                <w:szCs w:val="18"/>
              </w:rPr>
              <w:t>GIX</w:t>
            </w:r>
            <w:r>
              <w:rPr>
                <w:b w:val="0"/>
                <w:bCs w:val="0"/>
                <w:sz w:val="18"/>
                <w:szCs w:val="18"/>
                <w:vertAlign w:val="subscript"/>
              </w:rPr>
              <w:t>y</w:t>
            </w:r>
          </w:p>
        </w:tc>
        <w:tc>
          <w:tcPr>
            <w:tcW w:w="2585" w:type="dxa"/>
            <w:vAlign w:val="center"/>
          </w:tcPr>
          <w:p w14:paraId="53F31D5E" w14:textId="77777777" w:rsidR="00236A88" w:rsidRPr="00116ED1"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sidRPr="00116ED1">
              <w:rPr>
                <w:sz w:val="18"/>
                <w:szCs w:val="18"/>
              </w:rPr>
              <w:t>Meridional component of horizontal TEC spatial gradient</w:t>
            </w:r>
          </w:p>
        </w:tc>
        <w:tc>
          <w:tcPr>
            <w:tcW w:w="1598" w:type="dxa"/>
            <w:vAlign w:val="center"/>
          </w:tcPr>
          <w:p w14:paraId="30BA711F"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0.25° × 0.25°</w:t>
            </w:r>
          </w:p>
        </w:tc>
        <w:tc>
          <w:tcPr>
            <w:tcW w:w="1866" w:type="dxa"/>
            <w:vAlign w:val="center"/>
          </w:tcPr>
          <w:p w14:paraId="7B928128"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Pr>
                <w:rFonts w:eastAsia="等线" w:hint="eastAsia"/>
                <w:sz w:val="18"/>
                <w:szCs w:val="18"/>
              </w:rPr>
              <w:t>1</w:t>
            </w:r>
            <w:r>
              <w:rPr>
                <w:rFonts w:eastAsia="等线"/>
                <w:sz w:val="18"/>
                <w:szCs w:val="18"/>
              </w:rPr>
              <w:t>0</w:t>
            </w:r>
            <w:r w:rsidRPr="00442520">
              <w:rPr>
                <w:rFonts w:eastAsia="等线"/>
                <w:sz w:val="18"/>
                <w:szCs w:val="18"/>
                <w:vertAlign w:val="superscript"/>
              </w:rPr>
              <w:t>-3</w:t>
            </w:r>
            <w:r>
              <w:rPr>
                <w:rFonts w:eastAsia="等线"/>
                <w:sz w:val="18"/>
                <w:szCs w:val="18"/>
              </w:rPr>
              <w:t xml:space="preserve"> TECU/km</w:t>
            </w:r>
          </w:p>
        </w:tc>
      </w:tr>
      <w:tr w:rsidR="00236A88" w14:paraId="417CA22A" w14:textId="77777777" w:rsidTr="00236A88">
        <w:trPr>
          <w:trHeight w:val="397"/>
          <w:jc w:val="center"/>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D668A82" w14:textId="77777777" w:rsidR="00236A88" w:rsidRDefault="00236A88" w:rsidP="00D76441">
            <w:pPr>
              <w:jc w:val="center"/>
              <w:rPr>
                <w:b w:val="0"/>
                <w:bCs w:val="0"/>
                <w:sz w:val="18"/>
                <w:szCs w:val="18"/>
              </w:rPr>
            </w:pPr>
            <w:r>
              <w:rPr>
                <w:b w:val="0"/>
                <w:bCs w:val="0"/>
                <w:sz w:val="18"/>
                <w:szCs w:val="18"/>
              </w:rPr>
              <w:t>GIX</w:t>
            </w:r>
            <w:r>
              <w:rPr>
                <w:rFonts w:hint="eastAsia"/>
                <w:b w:val="0"/>
                <w:bCs w:val="0"/>
                <w:sz w:val="18"/>
                <w:szCs w:val="18"/>
                <w:vertAlign w:val="subscript"/>
              </w:rPr>
              <w:t>t</w:t>
            </w:r>
            <w:r>
              <w:rPr>
                <w:b w:val="0"/>
                <w:bCs w:val="0"/>
                <w:sz w:val="18"/>
                <w:szCs w:val="18"/>
                <w:vertAlign w:val="subscript"/>
              </w:rPr>
              <w:t>,x</w:t>
            </w:r>
          </w:p>
        </w:tc>
        <w:tc>
          <w:tcPr>
            <w:tcW w:w="2585" w:type="dxa"/>
            <w:vAlign w:val="center"/>
          </w:tcPr>
          <w:p w14:paraId="31DC520D"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sidRPr="00D6621A">
              <w:rPr>
                <w:sz w:val="18"/>
                <w:szCs w:val="18"/>
              </w:rPr>
              <w:t xml:space="preserve">Zonal component of the spatial </w:t>
            </w:r>
            <w:r w:rsidRPr="00116ED1">
              <w:rPr>
                <w:sz w:val="18"/>
                <w:szCs w:val="18"/>
              </w:rPr>
              <w:t>gradient</w:t>
            </w:r>
            <w:r w:rsidRPr="00D6621A">
              <w:rPr>
                <w:sz w:val="18"/>
                <w:szCs w:val="18"/>
              </w:rPr>
              <w:t xml:space="preserve"> of the TEC temporal derivative</w:t>
            </w:r>
          </w:p>
        </w:tc>
        <w:tc>
          <w:tcPr>
            <w:tcW w:w="1598" w:type="dxa"/>
            <w:vAlign w:val="center"/>
          </w:tcPr>
          <w:p w14:paraId="6C4498BB"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0.25° × 0.25°</w:t>
            </w:r>
          </w:p>
        </w:tc>
        <w:tc>
          <w:tcPr>
            <w:tcW w:w="1866" w:type="dxa"/>
            <w:vAlign w:val="center"/>
          </w:tcPr>
          <w:p w14:paraId="1EA4403C"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Pr>
                <w:rFonts w:eastAsia="等线" w:hint="eastAsia"/>
                <w:sz w:val="18"/>
                <w:szCs w:val="18"/>
              </w:rPr>
              <w:t>1</w:t>
            </w:r>
            <w:r>
              <w:rPr>
                <w:rFonts w:eastAsia="等线"/>
                <w:sz w:val="18"/>
                <w:szCs w:val="18"/>
              </w:rPr>
              <w:t>0</w:t>
            </w:r>
            <w:r w:rsidRPr="00442520">
              <w:rPr>
                <w:rFonts w:eastAsia="等线"/>
                <w:sz w:val="18"/>
                <w:szCs w:val="18"/>
                <w:vertAlign w:val="superscript"/>
              </w:rPr>
              <w:t>-3</w:t>
            </w:r>
            <w:r>
              <w:rPr>
                <w:rFonts w:eastAsia="等线"/>
                <w:sz w:val="18"/>
                <w:szCs w:val="18"/>
              </w:rPr>
              <w:t xml:space="preserve"> TECU/min/km</w:t>
            </w:r>
          </w:p>
        </w:tc>
      </w:tr>
      <w:tr w:rsidR="00236A88" w14:paraId="14272FB4" w14:textId="77777777" w:rsidTr="00236A88">
        <w:trPr>
          <w:trHeight w:val="397"/>
          <w:jc w:val="center"/>
        </w:trPr>
        <w:tc>
          <w:tcPr>
            <w:cnfStyle w:val="001000000000" w:firstRow="0" w:lastRow="0" w:firstColumn="1" w:lastColumn="0" w:oddVBand="0" w:evenVBand="0" w:oddHBand="0" w:evenHBand="0" w:firstRowFirstColumn="0" w:firstRowLastColumn="0" w:lastRowFirstColumn="0" w:lastRowLastColumn="0"/>
            <w:tcW w:w="1181" w:type="dxa"/>
            <w:tcBorders>
              <w:bottom w:val="single" w:sz="12" w:space="0" w:color="000000"/>
            </w:tcBorders>
            <w:vAlign w:val="center"/>
          </w:tcPr>
          <w:p w14:paraId="6565F9DA" w14:textId="77777777" w:rsidR="00236A88" w:rsidRDefault="00236A88" w:rsidP="00D76441">
            <w:pPr>
              <w:jc w:val="center"/>
              <w:rPr>
                <w:b w:val="0"/>
                <w:bCs w:val="0"/>
                <w:sz w:val="18"/>
                <w:szCs w:val="18"/>
              </w:rPr>
            </w:pPr>
            <w:r>
              <w:rPr>
                <w:b w:val="0"/>
                <w:bCs w:val="0"/>
                <w:sz w:val="18"/>
                <w:szCs w:val="18"/>
              </w:rPr>
              <w:t>GIX</w:t>
            </w:r>
            <w:r>
              <w:rPr>
                <w:b w:val="0"/>
                <w:bCs w:val="0"/>
                <w:sz w:val="18"/>
                <w:szCs w:val="18"/>
                <w:vertAlign w:val="subscript"/>
              </w:rPr>
              <w:t>t,y</w:t>
            </w:r>
          </w:p>
        </w:tc>
        <w:tc>
          <w:tcPr>
            <w:tcW w:w="2585" w:type="dxa"/>
            <w:tcBorders>
              <w:bottom w:val="single" w:sz="12" w:space="0" w:color="000000"/>
            </w:tcBorders>
            <w:vAlign w:val="center"/>
          </w:tcPr>
          <w:p w14:paraId="142EFCCF"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Meridional </w:t>
            </w:r>
            <w:r w:rsidRPr="00D6621A">
              <w:rPr>
                <w:sz w:val="18"/>
                <w:szCs w:val="18"/>
              </w:rPr>
              <w:t xml:space="preserve">component of the spatial </w:t>
            </w:r>
            <w:r w:rsidRPr="00116ED1">
              <w:rPr>
                <w:sz w:val="18"/>
                <w:szCs w:val="18"/>
              </w:rPr>
              <w:t>gradient</w:t>
            </w:r>
            <w:r w:rsidRPr="00D6621A">
              <w:rPr>
                <w:sz w:val="18"/>
                <w:szCs w:val="18"/>
              </w:rPr>
              <w:t xml:space="preserve"> of the TEC temporal derivative</w:t>
            </w:r>
          </w:p>
        </w:tc>
        <w:tc>
          <w:tcPr>
            <w:tcW w:w="1598" w:type="dxa"/>
            <w:tcBorders>
              <w:bottom w:val="single" w:sz="12" w:space="0" w:color="000000"/>
            </w:tcBorders>
            <w:vAlign w:val="center"/>
          </w:tcPr>
          <w:p w14:paraId="69A55827"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0.25° × 0.25°</w:t>
            </w:r>
          </w:p>
        </w:tc>
        <w:tc>
          <w:tcPr>
            <w:tcW w:w="1866" w:type="dxa"/>
            <w:tcBorders>
              <w:bottom w:val="single" w:sz="12" w:space="0" w:color="000000"/>
            </w:tcBorders>
            <w:vAlign w:val="center"/>
          </w:tcPr>
          <w:p w14:paraId="0733D0E6" w14:textId="77777777" w:rsidR="00236A88" w:rsidRDefault="00236A88" w:rsidP="00D76441">
            <w:pPr>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Pr>
                <w:rFonts w:eastAsia="等线" w:hint="eastAsia"/>
                <w:sz w:val="18"/>
                <w:szCs w:val="18"/>
              </w:rPr>
              <w:t>1</w:t>
            </w:r>
            <w:r>
              <w:rPr>
                <w:rFonts w:eastAsia="等线"/>
                <w:sz w:val="18"/>
                <w:szCs w:val="18"/>
              </w:rPr>
              <w:t>0</w:t>
            </w:r>
            <w:r w:rsidRPr="004C3C6D">
              <w:rPr>
                <w:rFonts w:eastAsia="等线"/>
                <w:sz w:val="18"/>
                <w:szCs w:val="18"/>
                <w:vertAlign w:val="superscript"/>
              </w:rPr>
              <w:t>-3</w:t>
            </w:r>
            <w:r>
              <w:rPr>
                <w:rFonts w:eastAsia="等线"/>
                <w:sz w:val="18"/>
                <w:szCs w:val="18"/>
              </w:rPr>
              <w:t xml:space="preserve"> TECU/min/km</w:t>
            </w:r>
          </w:p>
        </w:tc>
      </w:tr>
    </w:tbl>
    <w:p w14:paraId="31B3178F" w14:textId="77777777" w:rsidR="006E2E37" w:rsidRDefault="006E2E37" w:rsidP="00D76441">
      <w:pPr>
        <w:rPr>
          <w:rFonts w:ascii="Times New Roman" w:eastAsia="黑体" w:hAnsi="Times New Roman" w:cs="Times New Roman"/>
          <w:sz w:val="20"/>
          <w:szCs w:val="20"/>
        </w:rPr>
      </w:pPr>
    </w:p>
    <w:p w14:paraId="3E9BA569" w14:textId="77777777" w:rsidR="006E2E37" w:rsidRDefault="008B4B8A" w:rsidP="00D76441">
      <w:pPr>
        <w:pStyle w:val="1"/>
        <w:spacing w:before="120" w:after="120" w:line="240" w:lineRule="auto"/>
        <w:rPr>
          <w:rFonts w:ascii="Times New Roman" w:eastAsia="宋体" w:hAnsi="Times New Roman" w:cs="Times New Roman"/>
          <w:sz w:val="24"/>
          <w:szCs w:val="24"/>
        </w:rPr>
      </w:pPr>
      <w:r>
        <w:rPr>
          <w:rFonts w:ascii="Times New Roman" w:eastAsia="宋体" w:hAnsi="Times New Roman" w:cs="Times New Roman"/>
          <w:sz w:val="24"/>
          <w:szCs w:val="24"/>
        </w:rPr>
        <w:t>6. Quality control and missing data</w:t>
      </w:r>
    </w:p>
    <w:p w14:paraId="0748FCF9" w14:textId="2A37E432" w:rsidR="000D621D" w:rsidRPr="000D621D" w:rsidRDefault="000D621D" w:rsidP="00D76441">
      <w:pPr>
        <w:rPr>
          <w:rFonts w:ascii="Times New Roman" w:eastAsia="黑体" w:hAnsi="Times New Roman" w:cs="Times New Roman"/>
          <w:sz w:val="20"/>
          <w:szCs w:val="20"/>
        </w:rPr>
      </w:pPr>
      <w:r w:rsidRPr="000D621D">
        <w:rPr>
          <w:rFonts w:ascii="Times New Roman" w:eastAsia="黑体" w:hAnsi="Times New Roman" w:cs="Times New Roman"/>
          <w:sz w:val="20"/>
          <w:szCs w:val="20"/>
        </w:rPr>
        <w:t>The released products have been processed and quality controlled. The main Level-1 processing steps include elevation screening, cycle-slip detection, data-gap identification, continuous-arc segmentation, carrier-to-code leveling, and satellite and receiver DCB correction.</w:t>
      </w:r>
    </w:p>
    <w:p w14:paraId="0495531E" w14:textId="09BC5E3F" w:rsidR="000D621D" w:rsidRPr="000D621D" w:rsidRDefault="000D621D" w:rsidP="00D76441">
      <w:pPr>
        <w:ind w:firstLineChars="200" w:firstLine="400"/>
        <w:rPr>
          <w:rFonts w:ascii="Times New Roman" w:eastAsia="黑体" w:hAnsi="Times New Roman" w:cs="Times New Roman"/>
          <w:sz w:val="20"/>
          <w:szCs w:val="20"/>
        </w:rPr>
      </w:pPr>
      <w:r w:rsidRPr="000D621D">
        <w:rPr>
          <w:rFonts w:ascii="Times New Roman" w:eastAsia="黑体" w:hAnsi="Times New Roman" w:cs="Times New Roman"/>
          <w:sz w:val="20"/>
          <w:szCs w:val="20"/>
        </w:rPr>
        <w:t>A LOS-level stability check is applied using detrended STEC residuals during ionospheric quiet periods. Receiver</w:t>
      </w:r>
      <w:r w:rsidR="0028312A">
        <w:rPr>
          <w:rFonts w:ascii="Times New Roman" w:eastAsia="黑体" w:hAnsi="Times New Roman" w:cs="Times New Roman"/>
          <w:sz w:val="20"/>
          <w:szCs w:val="20"/>
        </w:rPr>
        <w:t>-</w:t>
      </w:r>
      <w:r w:rsidRPr="000D621D">
        <w:rPr>
          <w:rFonts w:ascii="Times New Roman" w:eastAsia="黑体" w:hAnsi="Times New Roman" w:cs="Times New Roman"/>
          <w:sz w:val="20"/>
          <w:szCs w:val="20"/>
        </w:rPr>
        <w:t>satellite links with persistently unstable residual behavior are excluded from the released products. This screening is designed to remove unstable LOS records rather than to remove genuine ionospheric disturbances.</w:t>
      </w:r>
    </w:p>
    <w:p w14:paraId="3FED04D6" w14:textId="112F514A" w:rsidR="000D621D" w:rsidRPr="000D621D" w:rsidRDefault="000D621D" w:rsidP="00D76441">
      <w:pPr>
        <w:ind w:firstLineChars="200" w:firstLine="400"/>
        <w:rPr>
          <w:rFonts w:ascii="Times New Roman" w:eastAsia="黑体" w:hAnsi="Times New Roman" w:cs="Times New Roman"/>
          <w:sz w:val="20"/>
          <w:szCs w:val="20"/>
        </w:rPr>
      </w:pPr>
      <w:r w:rsidRPr="000D621D">
        <w:rPr>
          <w:rFonts w:ascii="Times New Roman" w:eastAsia="黑体" w:hAnsi="Times New Roman" w:cs="Times New Roman"/>
          <w:sz w:val="20"/>
          <w:szCs w:val="20"/>
        </w:rPr>
        <w:t>The Level-2 products are generated from the retained Level-1 observations. For inter-IPP-gradient estimation, selected IPP pairs are used according to distance and mapping-function constraints. A Level-2 grid cell is retained only when sufficient valid samples are available; otherwise, the corresponding grid value is treated as missing.</w:t>
      </w:r>
    </w:p>
    <w:p w14:paraId="26A0C0E9" w14:textId="7E98B541" w:rsidR="00C81B1F" w:rsidRDefault="000D621D" w:rsidP="00D76441">
      <w:pPr>
        <w:ind w:firstLineChars="200" w:firstLine="400"/>
        <w:rPr>
          <w:rFonts w:ascii="Times New Roman" w:eastAsia="黑体" w:hAnsi="Times New Roman" w:cs="Times New Roman"/>
          <w:sz w:val="20"/>
          <w:szCs w:val="20"/>
        </w:rPr>
      </w:pPr>
      <w:r w:rsidRPr="000D621D">
        <w:rPr>
          <w:rFonts w:ascii="Times New Roman" w:eastAsia="黑体" w:hAnsi="Times New Roman" w:cs="Times New Roman"/>
          <w:sz w:val="20"/>
          <w:szCs w:val="20"/>
        </w:rPr>
        <w:t>Missing data may occur at two levels. First, some daily files may be unavailable if no processable observation files were received at the data center because of station maintenance or data transmission interruptions. Second, missing values may occur within individual NetCDF files because of data gaps, quality-control exclusions, station outages, or insufficient valid samples within a grid cell.</w:t>
      </w:r>
    </w:p>
    <w:p w14:paraId="1B9EAB76" w14:textId="77777777" w:rsidR="00D52175" w:rsidRDefault="00D52175" w:rsidP="008147F6">
      <w:pPr>
        <w:rPr>
          <w:rFonts w:ascii="Times New Roman" w:eastAsia="黑体" w:hAnsi="Times New Roman" w:cs="Times New Roman"/>
          <w:sz w:val="20"/>
          <w:szCs w:val="20"/>
        </w:rPr>
      </w:pPr>
    </w:p>
    <w:p w14:paraId="0681B835" w14:textId="065C1AA6" w:rsidR="006E2E37" w:rsidRDefault="008B4B8A" w:rsidP="00D76441">
      <w:pPr>
        <w:pStyle w:val="1"/>
        <w:spacing w:before="120" w:after="120" w:line="240" w:lineRule="auto"/>
        <w:rPr>
          <w:rFonts w:ascii="Times New Roman" w:eastAsia="宋体" w:hAnsi="Times New Roman" w:cs="Times New Roman"/>
          <w:sz w:val="24"/>
          <w:szCs w:val="24"/>
        </w:rPr>
      </w:pPr>
      <w:r>
        <w:rPr>
          <w:rFonts w:ascii="Times New Roman" w:eastAsia="宋体" w:hAnsi="Times New Roman" w:cs="Times New Roman"/>
          <w:sz w:val="24"/>
          <w:szCs w:val="24"/>
        </w:rPr>
        <w:t>7. Recommended use</w:t>
      </w:r>
    </w:p>
    <w:p w14:paraId="72A55511" w14:textId="7971202B" w:rsidR="006F4288" w:rsidRPr="006F4288" w:rsidRDefault="006F4288" w:rsidP="00D76441">
      <w:pPr>
        <w:rPr>
          <w:rFonts w:ascii="Times New Roman" w:eastAsia="黑体" w:hAnsi="Times New Roman" w:cs="Times New Roman"/>
          <w:sz w:val="20"/>
          <w:szCs w:val="20"/>
        </w:rPr>
      </w:pPr>
      <w:r w:rsidRPr="006F4288">
        <w:rPr>
          <w:rFonts w:ascii="Times New Roman" w:eastAsia="黑体" w:hAnsi="Times New Roman" w:cs="Times New Roman"/>
          <w:sz w:val="20"/>
          <w:szCs w:val="20"/>
        </w:rPr>
        <w:t xml:space="preserve">The GIFT-BDS dataset is suitable for regional ionospheric studies over China and adjacent regions, including analyses of TEC variability, TEC-gradient structures, </w:t>
      </w:r>
      <w:r w:rsidR="0045582E" w:rsidRPr="0045582E">
        <w:rPr>
          <w:rFonts w:ascii="Times New Roman" w:eastAsia="黑体" w:hAnsi="Times New Roman" w:cs="Times New Roman"/>
          <w:sz w:val="20"/>
          <w:szCs w:val="20"/>
        </w:rPr>
        <w:t>equatorial ionization anomaly (EIA) evolution, equatorial plasma bubble (EPB) activity, traveling ionospheric disturbances (TIDs)</w:t>
      </w:r>
      <w:r w:rsidRPr="006F4288">
        <w:rPr>
          <w:rFonts w:ascii="Times New Roman" w:eastAsia="黑体" w:hAnsi="Times New Roman" w:cs="Times New Roman"/>
          <w:sz w:val="20"/>
          <w:szCs w:val="20"/>
        </w:rPr>
        <w:t xml:space="preserve">, and </w:t>
      </w:r>
      <w:r w:rsidRPr="006F4288">
        <w:rPr>
          <w:rFonts w:ascii="Times New Roman" w:eastAsia="黑体" w:hAnsi="Times New Roman" w:cs="Times New Roman"/>
          <w:sz w:val="20"/>
          <w:szCs w:val="20"/>
        </w:rPr>
        <w:lastRenderedPageBreak/>
        <w:t>ionospheric effects on GNSS positioning performance.</w:t>
      </w:r>
    </w:p>
    <w:p w14:paraId="3900C344" w14:textId="66BF924A" w:rsidR="006F4288" w:rsidRDefault="006F4288" w:rsidP="00D76441">
      <w:pPr>
        <w:ind w:firstLineChars="200" w:firstLine="400"/>
        <w:rPr>
          <w:rFonts w:ascii="Times New Roman" w:eastAsia="黑体" w:hAnsi="Times New Roman" w:cs="Times New Roman"/>
          <w:sz w:val="20"/>
          <w:szCs w:val="20"/>
        </w:rPr>
      </w:pPr>
      <w:r w:rsidRPr="006F4288">
        <w:rPr>
          <w:rFonts w:ascii="Times New Roman" w:eastAsia="黑体" w:hAnsi="Times New Roman" w:cs="Times New Roman"/>
          <w:sz w:val="20"/>
          <w:szCs w:val="20"/>
        </w:rPr>
        <w:t>Level-1 products are recommended for LOS-based time-series analyses at nearly fixed IPPs. Level-2 products are recommended for regional mapping, spatiotemporal TEC-gradient analysis, and comparison with GNSS positioning performance or other ionospheric indicators.</w:t>
      </w:r>
    </w:p>
    <w:p w14:paraId="5E5C12D9" w14:textId="77777777" w:rsidR="005554F4" w:rsidRPr="006F4288" w:rsidRDefault="005554F4" w:rsidP="00D76441">
      <w:pPr>
        <w:rPr>
          <w:rFonts w:ascii="Times New Roman" w:eastAsia="黑体" w:hAnsi="Times New Roman" w:cs="Times New Roman"/>
          <w:sz w:val="20"/>
          <w:szCs w:val="20"/>
        </w:rPr>
      </w:pPr>
    </w:p>
    <w:p w14:paraId="7C07C642" w14:textId="5A15825D" w:rsidR="006E2E37" w:rsidRDefault="008B4B8A" w:rsidP="00D76441">
      <w:pPr>
        <w:pStyle w:val="1"/>
        <w:spacing w:before="120" w:after="120" w:line="24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8. </w:t>
      </w:r>
      <w:r w:rsidR="006554A6" w:rsidRPr="006554A6">
        <w:rPr>
          <w:rFonts w:ascii="Times New Roman" w:eastAsia="宋体" w:hAnsi="Times New Roman" w:cs="Times New Roman"/>
          <w:sz w:val="24"/>
          <w:szCs w:val="24"/>
        </w:rPr>
        <w:t>Data updates</w:t>
      </w:r>
    </w:p>
    <w:p w14:paraId="74577C1E" w14:textId="2E6F5202" w:rsidR="00266C90" w:rsidRDefault="000342E6" w:rsidP="00D76441">
      <w:pPr>
        <w:rPr>
          <w:rFonts w:ascii="Times New Roman" w:eastAsia="黑体" w:hAnsi="Times New Roman" w:cs="Times New Roman"/>
          <w:sz w:val="20"/>
          <w:szCs w:val="20"/>
        </w:rPr>
      </w:pPr>
      <w:r w:rsidRPr="000342E6">
        <w:rPr>
          <w:rFonts w:ascii="Times New Roman" w:eastAsia="黑体" w:hAnsi="Times New Roman" w:cs="Times New Roman"/>
          <w:sz w:val="20"/>
          <w:szCs w:val="20"/>
        </w:rPr>
        <w:t xml:space="preserve">Daily updated GIFT-BDS products are available at </w:t>
      </w:r>
      <w:r w:rsidR="00454216" w:rsidRPr="008E6482">
        <w:rPr>
          <w:rFonts w:ascii="Times New Roman" w:eastAsia="黑体" w:hAnsi="Times New Roman" w:cs="Times New Roman"/>
          <w:sz w:val="20"/>
          <w:szCs w:val="20"/>
        </w:rPr>
        <w:t>https://data.bdsmart.cn/pub/campaign/iono/</w:t>
      </w:r>
      <w:r w:rsidRPr="000342E6">
        <w:rPr>
          <w:rFonts w:ascii="Times New Roman" w:eastAsia="黑体" w:hAnsi="Times New Roman" w:cs="Times New Roman"/>
          <w:sz w:val="20"/>
          <w:szCs w:val="20"/>
        </w:rPr>
        <w:t>. These daily products follow the same processing strategy as the archived release and use the same file naming convention, product structure, variable definitions, and metadata format.</w:t>
      </w:r>
      <w:r w:rsidR="00951F0D">
        <w:rPr>
          <w:rFonts w:ascii="Times New Roman" w:eastAsia="黑体" w:hAnsi="Times New Roman" w:cs="Times New Roman"/>
          <w:sz w:val="20"/>
          <w:szCs w:val="20"/>
        </w:rPr>
        <w:t xml:space="preserve"> </w:t>
      </w:r>
      <w:r w:rsidR="00951F0D" w:rsidRPr="00951F0D">
        <w:rPr>
          <w:rFonts w:ascii="Times New Roman" w:eastAsia="黑体" w:hAnsi="Times New Roman" w:cs="Times New Roman"/>
          <w:sz w:val="20"/>
          <w:szCs w:val="20"/>
        </w:rPr>
        <w:t>However, they should be regarded as operational updates until they are included in a subsequent versioned public release.</w:t>
      </w:r>
    </w:p>
    <w:p w14:paraId="76092160" w14:textId="77777777" w:rsidR="00951F0D" w:rsidRDefault="00951F0D" w:rsidP="00D76441">
      <w:pPr>
        <w:rPr>
          <w:rFonts w:ascii="Times New Roman" w:eastAsia="黑体" w:hAnsi="Times New Roman" w:cs="Times New Roman"/>
          <w:sz w:val="20"/>
          <w:szCs w:val="20"/>
        </w:rPr>
      </w:pPr>
    </w:p>
    <w:p w14:paraId="408E2923" w14:textId="77777777" w:rsidR="006E2E37" w:rsidRDefault="008B4B8A" w:rsidP="00D76441">
      <w:pPr>
        <w:pStyle w:val="1"/>
        <w:spacing w:before="120" w:after="120" w:line="240" w:lineRule="auto"/>
        <w:rPr>
          <w:rFonts w:ascii="Times New Roman" w:eastAsia="宋体" w:hAnsi="Times New Roman" w:cs="Times New Roman"/>
          <w:sz w:val="24"/>
          <w:szCs w:val="24"/>
        </w:rPr>
      </w:pPr>
      <w:r>
        <w:rPr>
          <w:rFonts w:ascii="Times New Roman" w:eastAsia="宋体" w:hAnsi="Times New Roman" w:cs="Times New Roman"/>
          <w:sz w:val="24"/>
          <w:szCs w:val="24"/>
        </w:rPr>
        <w:t>9. Contact information</w:t>
      </w:r>
    </w:p>
    <w:p w14:paraId="5ACC0665" w14:textId="77FEE736" w:rsidR="006E2E37" w:rsidRDefault="008B4B8A" w:rsidP="00D76441">
      <w:pPr>
        <w:rPr>
          <w:rFonts w:ascii="Times New Roman" w:eastAsia="黑体" w:hAnsi="Times New Roman" w:cs="Times New Roman"/>
          <w:sz w:val="20"/>
          <w:szCs w:val="20"/>
        </w:rPr>
      </w:pPr>
      <w:r>
        <w:rPr>
          <w:rFonts w:ascii="Times New Roman" w:eastAsia="黑体" w:hAnsi="Times New Roman" w:cs="Times New Roman"/>
          <w:sz w:val="20"/>
          <w:szCs w:val="20"/>
        </w:rPr>
        <w:t>For questions regarding the dataset, please contact:</w:t>
      </w:r>
    </w:p>
    <w:p w14:paraId="08F90140" w14:textId="77777777" w:rsidR="00F260FC" w:rsidRDefault="00F260FC" w:rsidP="00D76441">
      <w:pPr>
        <w:rPr>
          <w:rFonts w:ascii="Times New Roman" w:eastAsia="黑体" w:hAnsi="Times New Roman" w:cs="Times New Roman"/>
          <w:sz w:val="20"/>
          <w:szCs w:val="20"/>
        </w:rPr>
      </w:pPr>
    </w:p>
    <w:p w14:paraId="601E3ADD" w14:textId="77777777" w:rsidR="006E2E37" w:rsidRDefault="008B4B8A" w:rsidP="00D76441">
      <w:pPr>
        <w:rPr>
          <w:rFonts w:ascii="Times New Roman" w:eastAsia="黑体" w:hAnsi="Times New Roman" w:cs="Times New Roman"/>
          <w:sz w:val="20"/>
          <w:szCs w:val="20"/>
        </w:rPr>
      </w:pPr>
      <w:r>
        <w:rPr>
          <w:rFonts w:ascii="Times New Roman" w:eastAsia="黑体" w:hAnsi="Times New Roman" w:cs="Times New Roman"/>
          <w:sz w:val="20"/>
          <w:szCs w:val="20"/>
        </w:rPr>
        <w:t>Ningbo Wang</w:t>
      </w:r>
    </w:p>
    <w:p w14:paraId="02C518E4" w14:textId="77777777" w:rsidR="006E2E37" w:rsidRDefault="008B4B8A" w:rsidP="00D76441">
      <w:pPr>
        <w:rPr>
          <w:rFonts w:ascii="Times New Roman" w:eastAsia="黑体" w:hAnsi="Times New Roman" w:cs="Times New Roman"/>
          <w:sz w:val="20"/>
          <w:szCs w:val="20"/>
        </w:rPr>
      </w:pPr>
      <w:r>
        <w:rPr>
          <w:rFonts w:ascii="Times New Roman" w:eastAsia="黑体" w:hAnsi="Times New Roman" w:cs="Times New Roman"/>
          <w:sz w:val="20"/>
          <w:szCs w:val="20"/>
        </w:rPr>
        <w:t>Aerospace Information Research Institute, Chinese Academy of Sciences</w:t>
      </w:r>
    </w:p>
    <w:p w14:paraId="482C3A2A" w14:textId="0F1F8E62" w:rsidR="006E2E37" w:rsidRDefault="008B4B8A" w:rsidP="00D76441">
      <w:pPr>
        <w:rPr>
          <w:rFonts w:ascii="Times New Roman" w:eastAsia="黑体" w:hAnsi="Times New Roman" w:cs="Times New Roman"/>
          <w:sz w:val="20"/>
          <w:szCs w:val="20"/>
        </w:rPr>
      </w:pPr>
      <w:r>
        <w:rPr>
          <w:rFonts w:ascii="Times New Roman" w:eastAsia="黑体" w:hAnsi="Times New Roman" w:cs="Times New Roman"/>
          <w:sz w:val="20"/>
          <w:szCs w:val="20"/>
        </w:rPr>
        <w:t>Email: wangningbo@aoe.ac.cn</w:t>
      </w:r>
    </w:p>
    <w:p w14:paraId="48A60A16" w14:textId="556A2BBF" w:rsidR="007D4E17" w:rsidRDefault="007D4E17" w:rsidP="00D76441">
      <w:pPr>
        <w:rPr>
          <w:rFonts w:ascii="Times New Roman" w:eastAsia="黑体" w:hAnsi="Times New Roman" w:cs="Times New Roman"/>
          <w:sz w:val="20"/>
          <w:szCs w:val="20"/>
        </w:rPr>
      </w:pPr>
    </w:p>
    <w:p w14:paraId="54D26CEA" w14:textId="422D5B06" w:rsidR="007D4E17" w:rsidRPr="007D4E17" w:rsidRDefault="007D4E17" w:rsidP="007D4E17">
      <w:pPr>
        <w:rPr>
          <w:rFonts w:ascii="Times New Roman" w:eastAsia="黑体" w:hAnsi="Times New Roman" w:cs="Times New Roman"/>
          <w:sz w:val="20"/>
          <w:szCs w:val="20"/>
        </w:rPr>
      </w:pPr>
      <w:r w:rsidRPr="007D4E17">
        <w:rPr>
          <w:rFonts w:ascii="Times New Roman" w:eastAsia="黑体" w:hAnsi="Times New Roman" w:cs="Times New Roman"/>
          <w:sz w:val="20"/>
          <w:szCs w:val="20"/>
        </w:rPr>
        <w:t>Zhiyao Li</w:t>
      </w:r>
    </w:p>
    <w:p w14:paraId="27A934EF" w14:textId="77777777" w:rsidR="007D4E17" w:rsidRPr="007D4E17" w:rsidRDefault="007D4E17" w:rsidP="007D4E17">
      <w:pPr>
        <w:rPr>
          <w:rFonts w:ascii="Times New Roman" w:eastAsia="黑体" w:hAnsi="Times New Roman" w:cs="Times New Roman"/>
          <w:sz w:val="20"/>
          <w:szCs w:val="20"/>
        </w:rPr>
      </w:pPr>
      <w:r w:rsidRPr="007D4E17">
        <w:rPr>
          <w:rFonts w:ascii="Times New Roman" w:eastAsia="黑体" w:hAnsi="Times New Roman" w:cs="Times New Roman"/>
          <w:sz w:val="20"/>
          <w:szCs w:val="20"/>
        </w:rPr>
        <w:t xml:space="preserve">School of Atmospheric Sciences, Sun Yat-sen University  </w:t>
      </w:r>
    </w:p>
    <w:p w14:paraId="651D30CD" w14:textId="21608C31" w:rsidR="007D4E17" w:rsidRPr="007D4E17" w:rsidRDefault="007D4E17" w:rsidP="007D4E17">
      <w:pPr>
        <w:rPr>
          <w:rFonts w:ascii="Times New Roman" w:eastAsia="黑体" w:hAnsi="Times New Roman" w:cs="Times New Roman"/>
          <w:sz w:val="20"/>
          <w:szCs w:val="20"/>
        </w:rPr>
      </w:pPr>
      <w:r w:rsidRPr="007D4E17">
        <w:rPr>
          <w:rFonts w:ascii="Times New Roman" w:eastAsia="黑体" w:hAnsi="Times New Roman" w:cs="Times New Roman"/>
          <w:sz w:val="20"/>
          <w:szCs w:val="20"/>
        </w:rPr>
        <w:t>Email: lizhy298@mail2.sysu.edu.cn</w:t>
      </w:r>
    </w:p>
    <w:sectPr w:rsidR="007D4E17" w:rsidRPr="007D4E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DA952" w14:textId="77777777" w:rsidR="00580EAC" w:rsidRDefault="00580EAC" w:rsidP="00AD38A2">
      <w:r>
        <w:separator/>
      </w:r>
    </w:p>
  </w:endnote>
  <w:endnote w:type="continuationSeparator" w:id="0">
    <w:p w14:paraId="41044461" w14:textId="77777777" w:rsidR="00580EAC" w:rsidRDefault="00580EAC" w:rsidP="00AD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9573F" w14:textId="77777777" w:rsidR="00580EAC" w:rsidRDefault="00580EAC" w:rsidP="00AD38A2">
      <w:r>
        <w:separator/>
      </w:r>
    </w:p>
  </w:footnote>
  <w:footnote w:type="continuationSeparator" w:id="0">
    <w:p w14:paraId="634988FB" w14:textId="77777777" w:rsidR="00580EAC" w:rsidRDefault="00580EAC" w:rsidP="00AD38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074"/>
    <w:rsid w:val="00006F38"/>
    <w:rsid w:val="00010822"/>
    <w:rsid w:val="00012105"/>
    <w:rsid w:val="00015FD2"/>
    <w:rsid w:val="00016149"/>
    <w:rsid w:val="0001795F"/>
    <w:rsid w:val="000225F7"/>
    <w:rsid w:val="00026125"/>
    <w:rsid w:val="000304EA"/>
    <w:rsid w:val="000342E6"/>
    <w:rsid w:val="00034C9A"/>
    <w:rsid w:val="00050C48"/>
    <w:rsid w:val="00072D21"/>
    <w:rsid w:val="00091978"/>
    <w:rsid w:val="00093059"/>
    <w:rsid w:val="0009751C"/>
    <w:rsid w:val="000A5ED6"/>
    <w:rsid w:val="000B0CCF"/>
    <w:rsid w:val="000B1EEE"/>
    <w:rsid w:val="000D20A5"/>
    <w:rsid w:val="000D5429"/>
    <w:rsid w:val="000D621D"/>
    <w:rsid w:val="000F2DAC"/>
    <w:rsid w:val="000F77AE"/>
    <w:rsid w:val="000F7E00"/>
    <w:rsid w:val="00100463"/>
    <w:rsid w:val="00107A21"/>
    <w:rsid w:val="0011360D"/>
    <w:rsid w:val="00127C29"/>
    <w:rsid w:val="00130664"/>
    <w:rsid w:val="00131319"/>
    <w:rsid w:val="00135F38"/>
    <w:rsid w:val="0013621D"/>
    <w:rsid w:val="00140B98"/>
    <w:rsid w:val="00145861"/>
    <w:rsid w:val="001528A7"/>
    <w:rsid w:val="00156135"/>
    <w:rsid w:val="00157547"/>
    <w:rsid w:val="00161054"/>
    <w:rsid w:val="00162072"/>
    <w:rsid w:val="00172F36"/>
    <w:rsid w:val="001744AB"/>
    <w:rsid w:val="0018233C"/>
    <w:rsid w:val="00183EB5"/>
    <w:rsid w:val="0019617F"/>
    <w:rsid w:val="001A3213"/>
    <w:rsid w:val="001B57C3"/>
    <w:rsid w:val="001B5EE5"/>
    <w:rsid w:val="001C25B8"/>
    <w:rsid w:val="001C37E9"/>
    <w:rsid w:val="001D0910"/>
    <w:rsid w:val="001D392A"/>
    <w:rsid w:val="001E19BE"/>
    <w:rsid w:val="001E2E15"/>
    <w:rsid w:val="001E3619"/>
    <w:rsid w:val="001F4D89"/>
    <w:rsid w:val="001F6C5E"/>
    <w:rsid w:val="00207D3C"/>
    <w:rsid w:val="00210C5D"/>
    <w:rsid w:val="002139D5"/>
    <w:rsid w:val="00215CE7"/>
    <w:rsid w:val="002364C9"/>
    <w:rsid w:val="00236A88"/>
    <w:rsid w:val="00240587"/>
    <w:rsid w:val="00245953"/>
    <w:rsid w:val="002478B8"/>
    <w:rsid w:val="002500E3"/>
    <w:rsid w:val="0025013C"/>
    <w:rsid w:val="00264DF1"/>
    <w:rsid w:val="00266463"/>
    <w:rsid w:val="00266C90"/>
    <w:rsid w:val="0027654F"/>
    <w:rsid w:val="0028312A"/>
    <w:rsid w:val="00287560"/>
    <w:rsid w:val="00293E03"/>
    <w:rsid w:val="00296194"/>
    <w:rsid w:val="0029686E"/>
    <w:rsid w:val="002A1B2E"/>
    <w:rsid w:val="002A4172"/>
    <w:rsid w:val="002A7FD2"/>
    <w:rsid w:val="002B1347"/>
    <w:rsid w:val="002B1A4C"/>
    <w:rsid w:val="002B241F"/>
    <w:rsid w:val="002B63FB"/>
    <w:rsid w:val="002B7E04"/>
    <w:rsid w:val="002C31ED"/>
    <w:rsid w:val="002C7A0C"/>
    <w:rsid w:val="002D76C4"/>
    <w:rsid w:val="002E0474"/>
    <w:rsid w:val="002E1FF7"/>
    <w:rsid w:val="002F0550"/>
    <w:rsid w:val="003075B0"/>
    <w:rsid w:val="00322462"/>
    <w:rsid w:val="00327054"/>
    <w:rsid w:val="00342074"/>
    <w:rsid w:val="00353F88"/>
    <w:rsid w:val="00355667"/>
    <w:rsid w:val="003578CD"/>
    <w:rsid w:val="0036021C"/>
    <w:rsid w:val="00361718"/>
    <w:rsid w:val="003637E6"/>
    <w:rsid w:val="00366681"/>
    <w:rsid w:val="003843EC"/>
    <w:rsid w:val="003906F5"/>
    <w:rsid w:val="00391505"/>
    <w:rsid w:val="003932FD"/>
    <w:rsid w:val="0039438B"/>
    <w:rsid w:val="00397415"/>
    <w:rsid w:val="003A3877"/>
    <w:rsid w:val="003A4A24"/>
    <w:rsid w:val="003B052C"/>
    <w:rsid w:val="003C4077"/>
    <w:rsid w:val="003C60AC"/>
    <w:rsid w:val="003E1631"/>
    <w:rsid w:val="003E2FD1"/>
    <w:rsid w:val="003E3083"/>
    <w:rsid w:val="003F45E6"/>
    <w:rsid w:val="004012CC"/>
    <w:rsid w:val="00401983"/>
    <w:rsid w:val="00412056"/>
    <w:rsid w:val="00417EC5"/>
    <w:rsid w:val="0042212B"/>
    <w:rsid w:val="00436BF8"/>
    <w:rsid w:val="00436E93"/>
    <w:rsid w:val="00447B6B"/>
    <w:rsid w:val="00450F1E"/>
    <w:rsid w:val="00454216"/>
    <w:rsid w:val="00454293"/>
    <w:rsid w:val="00454AE7"/>
    <w:rsid w:val="00454BC9"/>
    <w:rsid w:val="0045582E"/>
    <w:rsid w:val="00465038"/>
    <w:rsid w:val="0046794A"/>
    <w:rsid w:val="00467C95"/>
    <w:rsid w:val="004733F3"/>
    <w:rsid w:val="004829D3"/>
    <w:rsid w:val="004930FD"/>
    <w:rsid w:val="00493537"/>
    <w:rsid w:val="00494D09"/>
    <w:rsid w:val="004B5552"/>
    <w:rsid w:val="004B7052"/>
    <w:rsid w:val="004C103B"/>
    <w:rsid w:val="004C4222"/>
    <w:rsid w:val="004D5F39"/>
    <w:rsid w:val="004E046D"/>
    <w:rsid w:val="00500173"/>
    <w:rsid w:val="005021EE"/>
    <w:rsid w:val="00505138"/>
    <w:rsid w:val="00511C8B"/>
    <w:rsid w:val="005148F2"/>
    <w:rsid w:val="0051566D"/>
    <w:rsid w:val="00516060"/>
    <w:rsid w:val="00536D32"/>
    <w:rsid w:val="00546020"/>
    <w:rsid w:val="0054683A"/>
    <w:rsid w:val="00551733"/>
    <w:rsid w:val="00551B83"/>
    <w:rsid w:val="005554F4"/>
    <w:rsid w:val="00562346"/>
    <w:rsid w:val="005629E4"/>
    <w:rsid w:val="00564B44"/>
    <w:rsid w:val="00565903"/>
    <w:rsid w:val="00575BA8"/>
    <w:rsid w:val="00580EAC"/>
    <w:rsid w:val="00583155"/>
    <w:rsid w:val="00586D70"/>
    <w:rsid w:val="00591AD6"/>
    <w:rsid w:val="00594E3D"/>
    <w:rsid w:val="005A0D19"/>
    <w:rsid w:val="005A2C03"/>
    <w:rsid w:val="005A4195"/>
    <w:rsid w:val="005A6013"/>
    <w:rsid w:val="005B5539"/>
    <w:rsid w:val="005C119E"/>
    <w:rsid w:val="005C1242"/>
    <w:rsid w:val="005D1F2A"/>
    <w:rsid w:val="005D2BF8"/>
    <w:rsid w:val="005D6726"/>
    <w:rsid w:val="005E0135"/>
    <w:rsid w:val="005E08D6"/>
    <w:rsid w:val="005E57D4"/>
    <w:rsid w:val="005E773A"/>
    <w:rsid w:val="005F1176"/>
    <w:rsid w:val="006108D2"/>
    <w:rsid w:val="00610B21"/>
    <w:rsid w:val="00612788"/>
    <w:rsid w:val="0061333B"/>
    <w:rsid w:val="00626D06"/>
    <w:rsid w:val="00627DCF"/>
    <w:rsid w:val="00633706"/>
    <w:rsid w:val="00634147"/>
    <w:rsid w:val="006355D8"/>
    <w:rsid w:val="006373EA"/>
    <w:rsid w:val="006422C4"/>
    <w:rsid w:val="0065358D"/>
    <w:rsid w:val="006546D5"/>
    <w:rsid w:val="006554A6"/>
    <w:rsid w:val="0065589C"/>
    <w:rsid w:val="00660A26"/>
    <w:rsid w:val="00665736"/>
    <w:rsid w:val="00672FA6"/>
    <w:rsid w:val="00677415"/>
    <w:rsid w:val="00677E2B"/>
    <w:rsid w:val="00691513"/>
    <w:rsid w:val="00695213"/>
    <w:rsid w:val="00697B5D"/>
    <w:rsid w:val="006B4388"/>
    <w:rsid w:val="006B44F6"/>
    <w:rsid w:val="006B731D"/>
    <w:rsid w:val="006C3B0C"/>
    <w:rsid w:val="006C5721"/>
    <w:rsid w:val="006D2C4A"/>
    <w:rsid w:val="006D6C6D"/>
    <w:rsid w:val="006E11AC"/>
    <w:rsid w:val="006E2E37"/>
    <w:rsid w:val="006F2E8C"/>
    <w:rsid w:val="006F4288"/>
    <w:rsid w:val="006F7BB4"/>
    <w:rsid w:val="00703DC3"/>
    <w:rsid w:val="00707F7D"/>
    <w:rsid w:val="00717505"/>
    <w:rsid w:val="00744444"/>
    <w:rsid w:val="0075204E"/>
    <w:rsid w:val="007564A0"/>
    <w:rsid w:val="00761F19"/>
    <w:rsid w:val="00763D20"/>
    <w:rsid w:val="00767AA8"/>
    <w:rsid w:val="0077003E"/>
    <w:rsid w:val="00772838"/>
    <w:rsid w:val="00785A8C"/>
    <w:rsid w:val="00791B1D"/>
    <w:rsid w:val="00796622"/>
    <w:rsid w:val="007A5860"/>
    <w:rsid w:val="007A6B92"/>
    <w:rsid w:val="007B7C7E"/>
    <w:rsid w:val="007D1058"/>
    <w:rsid w:val="007D4E17"/>
    <w:rsid w:val="007E22E1"/>
    <w:rsid w:val="007F001C"/>
    <w:rsid w:val="007F2383"/>
    <w:rsid w:val="007F46D5"/>
    <w:rsid w:val="00801594"/>
    <w:rsid w:val="008031F4"/>
    <w:rsid w:val="00805CA0"/>
    <w:rsid w:val="008147F6"/>
    <w:rsid w:val="008222C3"/>
    <w:rsid w:val="008277CC"/>
    <w:rsid w:val="008277F0"/>
    <w:rsid w:val="00830828"/>
    <w:rsid w:val="00830D6B"/>
    <w:rsid w:val="00835D55"/>
    <w:rsid w:val="0084655F"/>
    <w:rsid w:val="008500BF"/>
    <w:rsid w:val="00860D39"/>
    <w:rsid w:val="008703CC"/>
    <w:rsid w:val="00876072"/>
    <w:rsid w:val="00883CEA"/>
    <w:rsid w:val="00891374"/>
    <w:rsid w:val="008934B5"/>
    <w:rsid w:val="008A22B7"/>
    <w:rsid w:val="008A30A9"/>
    <w:rsid w:val="008A3683"/>
    <w:rsid w:val="008B18EA"/>
    <w:rsid w:val="008B2074"/>
    <w:rsid w:val="008B4B8A"/>
    <w:rsid w:val="008B65D1"/>
    <w:rsid w:val="008C5AD3"/>
    <w:rsid w:val="008D0D5E"/>
    <w:rsid w:val="008E28E6"/>
    <w:rsid w:val="008E6482"/>
    <w:rsid w:val="008F0AE0"/>
    <w:rsid w:val="008F1077"/>
    <w:rsid w:val="008F3477"/>
    <w:rsid w:val="008F5CB5"/>
    <w:rsid w:val="00902C66"/>
    <w:rsid w:val="00905907"/>
    <w:rsid w:val="00914599"/>
    <w:rsid w:val="00924A1A"/>
    <w:rsid w:val="009259F0"/>
    <w:rsid w:val="00936041"/>
    <w:rsid w:val="00937DA1"/>
    <w:rsid w:val="00937DF3"/>
    <w:rsid w:val="00950823"/>
    <w:rsid w:val="00951F0D"/>
    <w:rsid w:val="00951F14"/>
    <w:rsid w:val="00962F24"/>
    <w:rsid w:val="00963F46"/>
    <w:rsid w:val="00964060"/>
    <w:rsid w:val="00964382"/>
    <w:rsid w:val="0096588E"/>
    <w:rsid w:val="00966920"/>
    <w:rsid w:val="0097152E"/>
    <w:rsid w:val="00991ACB"/>
    <w:rsid w:val="0099212B"/>
    <w:rsid w:val="009A014C"/>
    <w:rsid w:val="009B1DDC"/>
    <w:rsid w:val="009B4A0B"/>
    <w:rsid w:val="009B4AF0"/>
    <w:rsid w:val="009B716C"/>
    <w:rsid w:val="009B739D"/>
    <w:rsid w:val="009C1F28"/>
    <w:rsid w:val="009C52ED"/>
    <w:rsid w:val="009C7679"/>
    <w:rsid w:val="009D1713"/>
    <w:rsid w:val="009E1525"/>
    <w:rsid w:val="009E642B"/>
    <w:rsid w:val="00A07D21"/>
    <w:rsid w:val="00A22835"/>
    <w:rsid w:val="00A30DC9"/>
    <w:rsid w:val="00A4674B"/>
    <w:rsid w:val="00A54BB7"/>
    <w:rsid w:val="00A64D6A"/>
    <w:rsid w:val="00A665AA"/>
    <w:rsid w:val="00A703C2"/>
    <w:rsid w:val="00A8263F"/>
    <w:rsid w:val="00A84608"/>
    <w:rsid w:val="00AB735B"/>
    <w:rsid w:val="00AC03ED"/>
    <w:rsid w:val="00AC5800"/>
    <w:rsid w:val="00AC719D"/>
    <w:rsid w:val="00AD38A2"/>
    <w:rsid w:val="00B127BE"/>
    <w:rsid w:val="00B24580"/>
    <w:rsid w:val="00B24FF0"/>
    <w:rsid w:val="00B31201"/>
    <w:rsid w:val="00B33172"/>
    <w:rsid w:val="00B33D71"/>
    <w:rsid w:val="00B359DD"/>
    <w:rsid w:val="00B36580"/>
    <w:rsid w:val="00B44D4F"/>
    <w:rsid w:val="00B52A86"/>
    <w:rsid w:val="00B76C07"/>
    <w:rsid w:val="00B84417"/>
    <w:rsid w:val="00B84CCD"/>
    <w:rsid w:val="00B86274"/>
    <w:rsid w:val="00B920DE"/>
    <w:rsid w:val="00BA28A1"/>
    <w:rsid w:val="00BB17A5"/>
    <w:rsid w:val="00BC1C48"/>
    <w:rsid w:val="00BC3464"/>
    <w:rsid w:val="00BC67C0"/>
    <w:rsid w:val="00BD1D8F"/>
    <w:rsid w:val="00BD4EFA"/>
    <w:rsid w:val="00BE1AE5"/>
    <w:rsid w:val="00BF031F"/>
    <w:rsid w:val="00BF2C3A"/>
    <w:rsid w:val="00BF7FE9"/>
    <w:rsid w:val="00C05113"/>
    <w:rsid w:val="00C14E7F"/>
    <w:rsid w:val="00C26090"/>
    <w:rsid w:val="00C362B2"/>
    <w:rsid w:val="00C46150"/>
    <w:rsid w:val="00C46DFE"/>
    <w:rsid w:val="00C51196"/>
    <w:rsid w:val="00C5207A"/>
    <w:rsid w:val="00C52D63"/>
    <w:rsid w:val="00C5573A"/>
    <w:rsid w:val="00C7071D"/>
    <w:rsid w:val="00C712F0"/>
    <w:rsid w:val="00C75479"/>
    <w:rsid w:val="00C81B1F"/>
    <w:rsid w:val="00CB45E2"/>
    <w:rsid w:val="00CB7E24"/>
    <w:rsid w:val="00CC3AA1"/>
    <w:rsid w:val="00CC4545"/>
    <w:rsid w:val="00CD7391"/>
    <w:rsid w:val="00CE79E5"/>
    <w:rsid w:val="00CF17FC"/>
    <w:rsid w:val="00CF690E"/>
    <w:rsid w:val="00D111AE"/>
    <w:rsid w:val="00D16525"/>
    <w:rsid w:val="00D260AA"/>
    <w:rsid w:val="00D31CE1"/>
    <w:rsid w:val="00D34CC2"/>
    <w:rsid w:val="00D34DBB"/>
    <w:rsid w:val="00D4203B"/>
    <w:rsid w:val="00D52175"/>
    <w:rsid w:val="00D53B28"/>
    <w:rsid w:val="00D71E0F"/>
    <w:rsid w:val="00D76441"/>
    <w:rsid w:val="00D77D36"/>
    <w:rsid w:val="00D817B4"/>
    <w:rsid w:val="00D8722D"/>
    <w:rsid w:val="00D87D39"/>
    <w:rsid w:val="00D92B6C"/>
    <w:rsid w:val="00D93F79"/>
    <w:rsid w:val="00DA0C7C"/>
    <w:rsid w:val="00DB0E62"/>
    <w:rsid w:val="00DB39F2"/>
    <w:rsid w:val="00DB71C6"/>
    <w:rsid w:val="00DC48FB"/>
    <w:rsid w:val="00DC697E"/>
    <w:rsid w:val="00DE0459"/>
    <w:rsid w:val="00DF7FA7"/>
    <w:rsid w:val="00E11C6F"/>
    <w:rsid w:val="00E17B4B"/>
    <w:rsid w:val="00E21373"/>
    <w:rsid w:val="00E2546D"/>
    <w:rsid w:val="00E52804"/>
    <w:rsid w:val="00E6233B"/>
    <w:rsid w:val="00E96C8F"/>
    <w:rsid w:val="00EA31D8"/>
    <w:rsid w:val="00EB1FD9"/>
    <w:rsid w:val="00EB273E"/>
    <w:rsid w:val="00EC1E44"/>
    <w:rsid w:val="00EC2AC6"/>
    <w:rsid w:val="00ED1DD8"/>
    <w:rsid w:val="00ED29EB"/>
    <w:rsid w:val="00ED6889"/>
    <w:rsid w:val="00EE024B"/>
    <w:rsid w:val="00EE3E0F"/>
    <w:rsid w:val="00EE6069"/>
    <w:rsid w:val="00EF543F"/>
    <w:rsid w:val="00EF695D"/>
    <w:rsid w:val="00F00383"/>
    <w:rsid w:val="00F011FB"/>
    <w:rsid w:val="00F06353"/>
    <w:rsid w:val="00F07C9A"/>
    <w:rsid w:val="00F10889"/>
    <w:rsid w:val="00F14661"/>
    <w:rsid w:val="00F14F22"/>
    <w:rsid w:val="00F26067"/>
    <w:rsid w:val="00F260FC"/>
    <w:rsid w:val="00F3122E"/>
    <w:rsid w:val="00F345CC"/>
    <w:rsid w:val="00F3689B"/>
    <w:rsid w:val="00F371CB"/>
    <w:rsid w:val="00F41D49"/>
    <w:rsid w:val="00F42EDF"/>
    <w:rsid w:val="00F55383"/>
    <w:rsid w:val="00F577D4"/>
    <w:rsid w:val="00F67EF3"/>
    <w:rsid w:val="00F8167F"/>
    <w:rsid w:val="00F855A5"/>
    <w:rsid w:val="00FB028D"/>
    <w:rsid w:val="00FB183C"/>
    <w:rsid w:val="00FB29AE"/>
    <w:rsid w:val="00FC7F6D"/>
    <w:rsid w:val="00FD1A2B"/>
    <w:rsid w:val="00FE0331"/>
    <w:rsid w:val="00FE11FD"/>
    <w:rsid w:val="00FE1557"/>
    <w:rsid w:val="00FF634F"/>
    <w:rsid w:val="4C982217"/>
    <w:rsid w:val="5402266C"/>
    <w:rsid w:val="6AB204F0"/>
    <w:rsid w:val="774E15A1"/>
    <w:rsid w:val="7FAF2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26C6D"/>
  <w15:docId w15:val="{2FE50568-437A-4095-847D-1EF67D670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0"/>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Strong"/>
    <w:basedOn w:val="a0"/>
    <w:uiPriority w:val="22"/>
    <w:qFormat/>
    <w:rPr>
      <w:b/>
      <w:bCs/>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styleId="a8">
    <w:name w:val="List Paragraph"/>
    <w:basedOn w:val="a"/>
    <w:uiPriority w:val="99"/>
    <w:qFormat/>
    <w:pPr>
      <w:ind w:firstLineChars="200" w:firstLine="420"/>
    </w:pPr>
  </w:style>
  <w:style w:type="character" w:customStyle="1" w:styleId="10">
    <w:name w:val="标题 1 字符"/>
    <w:basedOn w:val="a0"/>
    <w:link w:val="1"/>
    <w:qFormat/>
    <w:rPr>
      <w:b/>
      <w:kern w:val="44"/>
      <w:sz w:val="44"/>
    </w:rPr>
  </w:style>
  <w:style w:type="character" w:customStyle="1" w:styleId="20">
    <w:name w:val="标题 2 字符"/>
    <w:basedOn w:val="a0"/>
    <w:link w:val="2"/>
    <w:qFormat/>
    <w:rPr>
      <w:rFonts w:ascii="Arial" w:eastAsia="黑体" w:hAnsi="Arial"/>
      <w:b/>
      <w:sz w:val="32"/>
    </w:rPr>
  </w:style>
  <w:style w:type="table" w:customStyle="1" w:styleId="21">
    <w:name w:val="无格式表格 21"/>
    <w:basedOn w:val="a1"/>
    <w:uiPriority w:val="42"/>
    <w:qFormat/>
    <w:rPr>
      <w:rFonts w:ascii="Times New Roman" w:eastAsia="宋体" w:hAnsi="Times New Roman" w:cs="Times New Roman"/>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9">
    <w:name w:val="Hyperlink"/>
    <w:basedOn w:val="a0"/>
    <w:uiPriority w:val="99"/>
    <w:unhideWhenUsed/>
    <w:rsid w:val="00450F1E"/>
    <w:rPr>
      <w:color w:val="0563C1" w:themeColor="hyperlink"/>
      <w:u w:val="single"/>
    </w:rPr>
  </w:style>
  <w:style w:type="character" w:styleId="aa">
    <w:name w:val="Unresolved Mention"/>
    <w:basedOn w:val="a0"/>
    <w:uiPriority w:val="99"/>
    <w:semiHidden/>
    <w:unhideWhenUsed/>
    <w:rsid w:val="00450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152384">
      <w:bodyDiv w:val="1"/>
      <w:marLeft w:val="0"/>
      <w:marRight w:val="0"/>
      <w:marTop w:val="0"/>
      <w:marBottom w:val="0"/>
      <w:divBdr>
        <w:top w:val="none" w:sz="0" w:space="0" w:color="auto"/>
        <w:left w:val="none" w:sz="0" w:space="0" w:color="auto"/>
        <w:bottom w:val="none" w:sz="0" w:space="0" w:color="auto"/>
        <w:right w:val="none" w:sz="0" w:space="0" w:color="auto"/>
      </w:divBdr>
      <w:divsChild>
        <w:div w:id="1680278076">
          <w:marLeft w:val="0"/>
          <w:marRight w:val="0"/>
          <w:marTop w:val="0"/>
          <w:marBottom w:val="0"/>
          <w:divBdr>
            <w:top w:val="none" w:sz="0" w:space="0" w:color="auto"/>
            <w:left w:val="none" w:sz="0" w:space="0" w:color="auto"/>
            <w:bottom w:val="none" w:sz="0" w:space="0" w:color="auto"/>
            <w:right w:val="none" w:sz="0" w:space="0" w:color="auto"/>
          </w:divBdr>
          <w:divsChild>
            <w:div w:id="57023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6596</TotalTime>
  <Pages>5</Pages>
  <Words>1514</Words>
  <Characters>8632</Characters>
  <Application>Microsoft Office Word</Application>
  <DocSecurity>0</DocSecurity>
  <Lines>71</Lines>
  <Paragraphs>20</Paragraphs>
  <ScaleCrop>false</ScaleCrop>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543</cp:revision>
  <dcterms:created xsi:type="dcterms:W3CDTF">2026-05-07T12:44:00Z</dcterms:created>
  <dcterms:modified xsi:type="dcterms:W3CDTF">2026-07-02T12:35:00Z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eyJoZGlkIjoiNjZhZTU3M2IxNGJjNGYwNzIyYThmYWFhNjkyNDY4ZTQiLCJ1c2VySWQiOiI0Njk5MjQ3NTUifQ==</vt:lpwstr>
  </property>
  <property fmtid="{D5CDD505-2E9C-101B-9397-08002B2CF9AE}" pid="3" name="KSOProductBuildVer">
    <vt:lpwstr>2052-12.1.0.23542</vt:lpwstr>
  </property>
  <property fmtid="{D5CDD505-2E9C-101B-9397-08002B2CF9AE}" pid="4" name="ICV">
    <vt:lpwstr>521FF1E1D31345449FCE36B2D01A1CCB_12</vt:lpwstr>
  </property>
</Properties>
</file>